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D30F1" w14:textId="77777777" w:rsidR="006A5796" w:rsidRPr="006A5796" w:rsidRDefault="006A5796" w:rsidP="006A5796">
      <w:pPr>
        <w:pStyle w:val="af"/>
        <w:rPr>
          <w:sz w:val="22"/>
          <w:szCs w:val="22"/>
        </w:rPr>
      </w:pPr>
      <w:r w:rsidRPr="006A5796">
        <w:rPr>
          <w:sz w:val="22"/>
          <w:szCs w:val="22"/>
        </w:rPr>
        <w:t xml:space="preserve">Closed Joint-Stock Company “Kumtor Gold Company” (hereinafter – “KGC”) invites you to participate in a two-package tender with unrestricted participation for the supply of </w:t>
      </w:r>
      <w:r w:rsidRPr="006A5796">
        <w:rPr>
          <w:b/>
          <w:i/>
          <w:sz w:val="22"/>
          <w:szCs w:val="22"/>
        </w:rPr>
        <w:t>forklift trucks</w:t>
      </w:r>
      <w:r w:rsidRPr="006A5796">
        <w:rPr>
          <w:sz w:val="22"/>
          <w:szCs w:val="22"/>
        </w:rPr>
        <w:t xml:space="preserve"> in the quantity of 5 (five) units for the needs of the </w:t>
      </w:r>
      <w:r w:rsidRPr="006A5796">
        <w:rPr>
          <w:b/>
          <w:sz w:val="22"/>
          <w:szCs w:val="22"/>
        </w:rPr>
        <w:t>Kumtor</w:t>
      </w:r>
      <w:r w:rsidRPr="006A5796">
        <w:rPr>
          <w:sz w:val="22"/>
          <w:szCs w:val="22"/>
        </w:rPr>
        <w:t xml:space="preserve"> Gold Deposit of “Kumtor Gold Company” CJSC.</w:t>
      </w:r>
    </w:p>
    <w:p w14:paraId="1F0B67D7" w14:textId="77777777" w:rsidR="006A5796" w:rsidRPr="006A5796" w:rsidRDefault="006A5796" w:rsidP="006A5796">
      <w:pPr>
        <w:pStyle w:val="af"/>
        <w:rPr>
          <w:b/>
          <w:sz w:val="22"/>
          <w:szCs w:val="22"/>
        </w:rPr>
      </w:pPr>
      <w:r w:rsidRPr="006A5796">
        <w:rPr>
          <w:b/>
          <w:sz w:val="22"/>
          <w:szCs w:val="22"/>
        </w:rPr>
        <w:t>Lot 1 – Telescopic loader with a lifting capacity of 3–5 tons, complete with attachment equipment</w:t>
      </w:r>
    </w:p>
    <w:p w14:paraId="139B783A" w14:textId="77777777" w:rsidR="006A5796" w:rsidRPr="006A5796" w:rsidRDefault="006A5796" w:rsidP="006A5796">
      <w:pPr>
        <w:pStyle w:val="af"/>
        <w:rPr>
          <w:b/>
          <w:sz w:val="22"/>
          <w:szCs w:val="22"/>
        </w:rPr>
      </w:pPr>
      <w:r w:rsidRPr="006A5796">
        <w:rPr>
          <w:b/>
          <w:sz w:val="22"/>
          <w:szCs w:val="22"/>
        </w:rPr>
        <w:t>Lot 2 – Forklift truck with a lifting capacity of 15 (fifteen) tons</w:t>
      </w:r>
    </w:p>
    <w:p w14:paraId="4E6009BC" w14:textId="77777777" w:rsidR="006A5796" w:rsidRPr="006A5796" w:rsidRDefault="006A5796" w:rsidP="006A5796">
      <w:pPr>
        <w:pStyle w:val="af"/>
        <w:rPr>
          <w:b/>
          <w:sz w:val="22"/>
          <w:szCs w:val="22"/>
        </w:rPr>
      </w:pPr>
      <w:r w:rsidRPr="006A5796">
        <w:rPr>
          <w:b/>
          <w:sz w:val="22"/>
          <w:szCs w:val="22"/>
        </w:rPr>
        <w:t>Lot 3 – Forklift truck with a lifting capacity of 3.5 tons for transportation of IBC euro drums</w:t>
      </w:r>
    </w:p>
    <w:p w14:paraId="556241C5" w14:textId="77777777" w:rsidR="006A5796" w:rsidRPr="006A5796" w:rsidRDefault="006A5796" w:rsidP="006A5796">
      <w:pPr>
        <w:pStyle w:val="af"/>
        <w:rPr>
          <w:b/>
          <w:sz w:val="22"/>
          <w:szCs w:val="22"/>
        </w:rPr>
      </w:pPr>
      <w:r w:rsidRPr="006A5796">
        <w:rPr>
          <w:b/>
          <w:sz w:val="22"/>
          <w:szCs w:val="22"/>
        </w:rPr>
        <w:t>Lot 4 – Forklift truck with a lifting capacity of 3 (three) tons, equivalent to Heli or Hyundai models</w:t>
      </w:r>
    </w:p>
    <w:p w14:paraId="4AC3F942" w14:textId="3581FF8E" w:rsidR="006A5796" w:rsidRPr="006A5796" w:rsidRDefault="006A5796" w:rsidP="006A5796">
      <w:pPr>
        <w:pStyle w:val="af"/>
        <w:rPr>
          <w:b/>
          <w:sz w:val="22"/>
          <w:szCs w:val="22"/>
        </w:rPr>
      </w:pPr>
      <w:r w:rsidRPr="006A5796">
        <w:rPr>
          <w:b/>
          <w:sz w:val="22"/>
          <w:szCs w:val="22"/>
        </w:rPr>
        <w:t>Lot 5 – Forklift truck with a lifting capacity of 5 tons</w:t>
      </w:r>
    </w:p>
    <w:tbl>
      <w:tblPr>
        <w:tblStyle w:val="af0"/>
        <w:tblW w:w="0" w:type="auto"/>
        <w:tblLook w:val="04A0" w:firstRow="1" w:lastRow="0" w:firstColumn="1" w:lastColumn="0" w:noHBand="0" w:noVBand="1"/>
      </w:tblPr>
      <w:tblGrid>
        <w:gridCol w:w="2722"/>
        <w:gridCol w:w="8294"/>
      </w:tblGrid>
      <w:tr w:rsidR="00796153" w:rsidRPr="006A5796" w14:paraId="5FA7B1AE" w14:textId="77777777" w:rsidTr="006A5796">
        <w:tc>
          <w:tcPr>
            <w:tcW w:w="2840" w:type="dxa"/>
          </w:tcPr>
          <w:p w14:paraId="49CB61A6" w14:textId="52785434" w:rsidR="00796153" w:rsidRPr="005323E7" w:rsidRDefault="006A5796" w:rsidP="00CF7F96">
            <w:pPr>
              <w:pStyle w:val="af"/>
              <w:spacing w:before="0" w:beforeAutospacing="0" w:after="240" w:afterAutospacing="0"/>
              <w:contextualSpacing/>
              <w:jc w:val="both"/>
              <w:rPr>
                <w:sz w:val="22"/>
                <w:szCs w:val="22"/>
                <w:lang w:val="ru-RU"/>
              </w:rPr>
            </w:pPr>
            <w:r w:rsidRPr="006A5796">
              <w:rPr>
                <w:rStyle w:val="afa"/>
                <w:sz w:val="22"/>
                <w:szCs w:val="22"/>
                <w:lang w:val="ru-RU"/>
              </w:rPr>
              <w:t>Submission Format</w:t>
            </w:r>
            <w:r w:rsidR="00796153" w:rsidRPr="005323E7">
              <w:rPr>
                <w:rStyle w:val="afa"/>
                <w:sz w:val="22"/>
                <w:szCs w:val="22"/>
                <w:lang w:val="ru-RU"/>
              </w:rPr>
              <w:t>:</w:t>
            </w:r>
          </w:p>
        </w:tc>
        <w:tc>
          <w:tcPr>
            <w:tcW w:w="8176" w:type="dxa"/>
          </w:tcPr>
          <w:p w14:paraId="3984E4AF" w14:textId="77777777" w:rsidR="006A5796" w:rsidRPr="006A5796" w:rsidRDefault="006A5796" w:rsidP="006A5796">
            <w:pPr>
              <w:pStyle w:val="af"/>
              <w:spacing w:after="240"/>
              <w:contextualSpacing/>
              <w:jc w:val="both"/>
              <w:rPr>
                <w:sz w:val="22"/>
                <w:szCs w:val="22"/>
              </w:rPr>
            </w:pPr>
            <w:r w:rsidRPr="006A5796">
              <w:rPr>
                <w:sz w:val="22"/>
                <w:szCs w:val="22"/>
              </w:rPr>
              <w:t>The Application for Participation and other documents must be signed by a person authorized to sign the application and contractual obligations.</w:t>
            </w:r>
          </w:p>
          <w:p w14:paraId="3A45CE76" w14:textId="77777777" w:rsidR="006A5796" w:rsidRPr="006A5796" w:rsidRDefault="006A5796" w:rsidP="006A5796">
            <w:pPr>
              <w:pStyle w:val="af"/>
              <w:spacing w:after="240"/>
              <w:contextualSpacing/>
              <w:jc w:val="both"/>
              <w:rPr>
                <w:sz w:val="22"/>
                <w:szCs w:val="22"/>
              </w:rPr>
            </w:pPr>
            <w:r w:rsidRPr="006A5796">
              <w:rPr>
                <w:sz w:val="22"/>
                <w:szCs w:val="22"/>
              </w:rPr>
              <w:t>The documents must be stamped and submitted in PDF format.</w:t>
            </w:r>
          </w:p>
          <w:p w14:paraId="62FEAFB6" w14:textId="230E6A3F" w:rsidR="00796153" w:rsidRPr="006A5796" w:rsidRDefault="006A5796" w:rsidP="006A5796">
            <w:pPr>
              <w:pStyle w:val="af"/>
              <w:spacing w:before="0" w:beforeAutospacing="0" w:after="240" w:afterAutospacing="0"/>
              <w:contextualSpacing/>
              <w:jc w:val="both"/>
              <w:rPr>
                <w:sz w:val="22"/>
                <w:szCs w:val="22"/>
              </w:rPr>
            </w:pPr>
            <w:r w:rsidRPr="006A5796">
              <w:rPr>
                <w:sz w:val="22"/>
                <w:szCs w:val="22"/>
              </w:rPr>
              <w:t>The signatory’s authority must be confirmed by a power of attorney or certified copies of the relevant documents</w:t>
            </w:r>
            <w:r w:rsidR="00796153" w:rsidRPr="006A5796">
              <w:rPr>
                <w:sz w:val="22"/>
                <w:szCs w:val="22"/>
              </w:rPr>
              <w:t>.</w:t>
            </w:r>
          </w:p>
        </w:tc>
      </w:tr>
      <w:tr w:rsidR="00796153" w:rsidRPr="006A5796" w14:paraId="1BC41C90" w14:textId="77777777" w:rsidTr="006A5796">
        <w:tc>
          <w:tcPr>
            <w:tcW w:w="2840" w:type="dxa"/>
          </w:tcPr>
          <w:p w14:paraId="3F5854E0" w14:textId="1708D2B0" w:rsidR="00796153" w:rsidRPr="005323E7" w:rsidRDefault="006A5796" w:rsidP="00CF7F96">
            <w:pPr>
              <w:contextualSpacing/>
              <w:jc w:val="both"/>
              <w:rPr>
                <w:rFonts w:ascii="Times New Roman" w:hAnsi="Times New Roman" w:cs="Times New Roman"/>
                <w:lang w:val="ru-RU"/>
              </w:rPr>
            </w:pPr>
            <w:r w:rsidRPr="006A5796">
              <w:rPr>
                <w:rStyle w:val="afa"/>
                <w:rFonts w:ascii="Times New Roman" w:hAnsi="Times New Roman" w:cs="Times New Roman"/>
                <w:lang w:val="ru-RU"/>
              </w:rPr>
              <w:t>Procedure for Submission of Proposals</w:t>
            </w:r>
          </w:p>
          <w:p w14:paraId="3ABCE819" w14:textId="77777777" w:rsidR="00796153" w:rsidRPr="005323E7" w:rsidRDefault="00796153" w:rsidP="00CF7F96">
            <w:pPr>
              <w:jc w:val="both"/>
              <w:rPr>
                <w:rFonts w:ascii="Times New Roman" w:hAnsi="Times New Roman" w:cs="Times New Roman"/>
                <w:lang w:val="ru-RU"/>
              </w:rPr>
            </w:pPr>
          </w:p>
        </w:tc>
        <w:tc>
          <w:tcPr>
            <w:tcW w:w="8176" w:type="dxa"/>
          </w:tcPr>
          <w:p w14:paraId="607850FD" w14:textId="0B747BCC" w:rsidR="006A5796" w:rsidRPr="006A5796" w:rsidRDefault="006A5796" w:rsidP="006A5796">
            <w:pPr>
              <w:tabs>
                <w:tab w:val="left" w:pos="-1440"/>
                <w:tab w:val="left" w:pos="-720"/>
              </w:tabs>
              <w:spacing w:line="240" w:lineRule="atLeast"/>
              <w:jc w:val="both"/>
              <w:rPr>
                <w:rFonts w:ascii="Times New Roman" w:hAnsi="Times New Roman" w:cs="Times New Roman"/>
                <w:b/>
              </w:rPr>
            </w:pPr>
            <w:r w:rsidRPr="006A5796">
              <w:rPr>
                <w:rFonts w:ascii="Times New Roman" w:hAnsi="Times New Roman" w:cs="Times New Roman"/>
              </w:rPr>
              <w:t xml:space="preserve">Participants must submit an application for participation in Russian, in accordance with the tender requirements, attach the necessary copies of documents, and send them electronically to the email address </w:t>
            </w:r>
            <w:hyperlink r:id="rId8" w:history="1">
              <w:r w:rsidRPr="007F7B92">
                <w:rPr>
                  <w:rStyle w:val="ad"/>
                  <w:rFonts w:ascii="Times New Roman" w:hAnsi="Times New Roman" w:cs="Times New Roman"/>
                </w:rPr>
                <w:t>forklift.truck@kumtor.kg</w:t>
              </w:r>
            </w:hyperlink>
            <w:r w:rsidRPr="006A5796">
              <w:rPr>
                <w:rFonts w:ascii="Times New Roman" w:hAnsi="Times New Roman" w:cs="Times New Roman"/>
              </w:rPr>
              <w:t xml:space="preserve"> </w:t>
            </w:r>
            <w:r w:rsidRPr="006A5796">
              <w:rPr>
                <w:rFonts w:ascii="Times New Roman" w:hAnsi="Times New Roman" w:cs="Times New Roman"/>
                <w:b/>
              </w:rPr>
              <w:t xml:space="preserve">no later than 14:00 (Bishkek time) on </w:t>
            </w:r>
            <w:r w:rsidR="0041792A" w:rsidRPr="0041792A">
              <w:rPr>
                <w:rFonts w:ascii="Times New Roman" w:hAnsi="Times New Roman" w:cs="Times New Roman"/>
                <w:b/>
              </w:rPr>
              <w:t>24</w:t>
            </w:r>
            <w:r w:rsidRPr="006A5796">
              <w:rPr>
                <w:rFonts w:ascii="Times New Roman" w:hAnsi="Times New Roman" w:cs="Times New Roman"/>
                <w:b/>
              </w:rPr>
              <w:t xml:space="preserve"> November 2025.</w:t>
            </w:r>
          </w:p>
          <w:p w14:paraId="11AFAE73" w14:textId="4EEDDE45" w:rsidR="00796153" w:rsidRPr="006A5796" w:rsidRDefault="006A5796" w:rsidP="006A5796">
            <w:pPr>
              <w:tabs>
                <w:tab w:val="left" w:pos="-1440"/>
                <w:tab w:val="left" w:pos="-720"/>
              </w:tabs>
              <w:spacing w:line="240" w:lineRule="atLeast"/>
              <w:jc w:val="both"/>
              <w:rPr>
                <w:rFonts w:ascii="Times New Roman" w:hAnsi="Times New Roman" w:cs="Times New Roman"/>
              </w:rPr>
            </w:pPr>
            <w:r w:rsidRPr="006A5796">
              <w:rPr>
                <w:rFonts w:ascii="Times New Roman" w:hAnsi="Times New Roman" w:cs="Times New Roman"/>
              </w:rPr>
              <w:t>The Technical Specification (hereinafter – “TS”) is attached to this tender documentation.</w:t>
            </w:r>
          </w:p>
        </w:tc>
      </w:tr>
      <w:tr w:rsidR="00796153" w:rsidRPr="006A5796" w14:paraId="42118745" w14:textId="77777777" w:rsidTr="006A5796">
        <w:trPr>
          <w:trHeight w:val="710"/>
        </w:trPr>
        <w:tc>
          <w:tcPr>
            <w:tcW w:w="2840" w:type="dxa"/>
          </w:tcPr>
          <w:p w14:paraId="4D888F49" w14:textId="53B0457C" w:rsidR="00796153" w:rsidRPr="005323E7" w:rsidRDefault="006A5796" w:rsidP="00CF7F96">
            <w:pPr>
              <w:contextualSpacing/>
              <w:jc w:val="both"/>
              <w:rPr>
                <w:rStyle w:val="afa"/>
                <w:rFonts w:ascii="Times New Roman" w:hAnsi="Times New Roman" w:cs="Times New Roman"/>
                <w:lang w:val="ru-RU"/>
              </w:rPr>
            </w:pPr>
            <w:r w:rsidRPr="006A5796">
              <w:rPr>
                <w:rStyle w:val="afa"/>
                <w:rFonts w:ascii="Times New Roman" w:hAnsi="Times New Roman" w:cs="Times New Roman"/>
                <w:lang w:val="ru-RU"/>
              </w:rPr>
              <w:t>Important!!!</w:t>
            </w:r>
          </w:p>
        </w:tc>
        <w:tc>
          <w:tcPr>
            <w:tcW w:w="8176" w:type="dxa"/>
          </w:tcPr>
          <w:p w14:paraId="0C807D43" w14:textId="77777777" w:rsidR="006A5796" w:rsidRPr="006A5796" w:rsidRDefault="006A5796" w:rsidP="006A5796">
            <w:pPr>
              <w:tabs>
                <w:tab w:val="left" w:pos="-1440"/>
                <w:tab w:val="left" w:pos="-720"/>
              </w:tabs>
              <w:spacing w:line="240" w:lineRule="atLeast"/>
              <w:jc w:val="both"/>
              <w:rPr>
                <w:rFonts w:ascii="Times New Roman" w:hAnsi="Times New Roman" w:cs="Times New Roman"/>
              </w:rPr>
            </w:pPr>
            <w:r w:rsidRPr="006A5796">
              <w:rPr>
                <w:rFonts w:ascii="Times New Roman" w:hAnsi="Times New Roman" w:cs="Times New Roman"/>
              </w:rPr>
              <w:t>The size of the email (proposal) must not exceed 25 MB.</w:t>
            </w:r>
          </w:p>
          <w:p w14:paraId="38522C5C" w14:textId="77777777" w:rsidR="006A5796" w:rsidRPr="006A5796" w:rsidRDefault="006A5796" w:rsidP="006A5796">
            <w:pPr>
              <w:tabs>
                <w:tab w:val="left" w:pos="-1440"/>
                <w:tab w:val="left" w:pos="-720"/>
              </w:tabs>
              <w:spacing w:line="240" w:lineRule="atLeast"/>
              <w:jc w:val="both"/>
              <w:rPr>
                <w:rFonts w:ascii="Times New Roman" w:hAnsi="Times New Roman" w:cs="Times New Roman"/>
              </w:rPr>
            </w:pPr>
            <w:r w:rsidRPr="006A5796">
              <w:rPr>
                <w:rFonts w:ascii="Times New Roman" w:hAnsi="Times New Roman" w:cs="Times New Roman"/>
              </w:rPr>
              <w:t>If the size of the attachments exceeds 25 MB, the tender application must be divided into parts and reflected in the subject line of the email as follows:</w:t>
            </w:r>
          </w:p>
          <w:p w14:paraId="437CA807" w14:textId="77777777" w:rsidR="006A5796" w:rsidRPr="006A5796" w:rsidRDefault="006A5796" w:rsidP="006A5796">
            <w:pPr>
              <w:tabs>
                <w:tab w:val="left" w:pos="-1440"/>
                <w:tab w:val="left" w:pos="-720"/>
              </w:tabs>
              <w:spacing w:line="240" w:lineRule="atLeast"/>
              <w:jc w:val="both"/>
              <w:rPr>
                <w:rFonts w:ascii="Times New Roman" w:hAnsi="Times New Roman" w:cs="Times New Roman"/>
              </w:rPr>
            </w:pPr>
          </w:p>
          <w:p w14:paraId="5C6D74AF" w14:textId="0EC4A926" w:rsidR="006A5796" w:rsidRPr="006A5796" w:rsidRDefault="006A5796" w:rsidP="006A5796">
            <w:pPr>
              <w:tabs>
                <w:tab w:val="left" w:pos="-1440"/>
                <w:tab w:val="left" w:pos="-720"/>
              </w:tabs>
              <w:spacing w:line="240" w:lineRule="atLeast"/>
              <w:jc w:val="both"/>
              <w:rPr>
                <w:rFonts w:ascii="Times New Roman" w:hAnsi="Times New Roman" w:cs="Times New Roman"/>
              </w:rPr>
            </w:pPr>
            <w:r w:rsidRPr="006A5796">
              <w:rPr>
                <w:rFonts w:ascii="Times New Roman" w:hAnsi="Times New Roman" w:cs="Times New Roman"/>
              </w:rPr>
              <w:t>1. “Qualification and Technical Proposal (name of participant)” Part 1</w:t>
            </w:r>
          </w:p>
          <w:p w14:paraId="35F72E16" w14:textId="1459D67B" w:rsidR="006A5796" w:rsidRPr="006A5796" w:rsidRDefault="006A5796" w:rsidP="006A5796">
            <w:pPr>
              <w:tabs>
                <w:tab w:val="left" w:pos="-1440"/>
                <w:tab w:val="left" w:pos="-720"/>
              </w:tabs>
              <w:spacing w:line="240" w:lineRule="atLeast"/>
              <w:jc w:val="both"/>
              <w:rPr>
                <w:rFonts w:ascii="Times New Roman" w:hAnsi="Times New Roman" w:cs="Times New Roman"/>
              </w:rPr>
            </w:pPr>
            <w:r w:rsidRPr="006A5796">
              <w:rPr>
                <w:rFonts w:ascii="Times New Roman" w:hAnsi="Times New Roman" w:cs="Times New Roman"/>
              </w:rPr>
              <w:t>2. “Qualification and Technical Proposal (name of participant)” Part 2, and so on.</w:t>
            </w:r>
          </w:p>
          <w:p w14:paraId="66AFD7DC" w14:textId="77777777" w:rsidR="006A5796" w:rsidRPr="006A5796" w:rsidRDefault="006A5796" w:rsidP="006A5796">
            <w:pPr>
              <w:tabs>
                <w:tab w:val="left" w:pos="-1440"/>
                <w:tab w:val="left" w:pos="-720"/>
              </w:tabs>
              <w:spacing w:line="240" w:lineRule="atLeast"/>
              <w:jc w:val="both"/>
              <w:rPr>
                <w:rFonts w:ascii="Times New Roman" w:hAnsi="Times New Roman" w:cs="Times New Roman"/>
              </w:rPr>
            </w:pPr>
          </w:p>
          <w:p w14:paraId="238B7BE9" w14:textId="77777777" w:rsidR="006A5796" w:rsidRPr="006A5796" w:rsidRDefault="006A5796" w:rsidP="006A5796">
            <w:pPr>
              <w:tabs>
                <w:tab w:val="left" w:pos="-1440"/>
                <w:tab w:val="left" w:pos="-720"/>
              </w:tabs>
              <w:spacing w:line="240" w:lineRule="atLeast"/>
              <w:jc w:val="both"/>
              <w:rPr>
                <w:rFonts w:ascii="Times New Roman" w:hAnsi="Times New Roman" w:cs="Times New Roman"/>
              </w:rPr>
            </w:pPr>
            <w:r w:rsidRPr="006A5796">
              <w:rPr>
                <w:rFonts w:ascii="Times New Roman" w:hAnsi="Times New Roman" w:cs="Times New Roman"/>
              </w:rPr>
              <w:t>Since download links to cloud storage services expire, submission of documents via cloud storage links is prohibited.</w:t>
            </w:r>
          </w:p>
          <w:p w14:paraId="5585DD3C" w14:textId="77777777" w:rsidR="006A5796" w:rsidRPr="00DA46D1" w:rsidRDefault="006A5796" w:rsidP="006A5796">
            <w:pPr>
              <w:tabs>
                <w:tab w:val="left" w:pos="-1440"/>
                <w:tab w:val="left" w:pos="-720"/>
              </w:tabs>
              <w:spacing w:line="240" w:lineRule="atLeast"/>
              <w:jc w:val="both"/>
              <w:rPr>
                <w:rFonts w:ascii="Times New Roman" w:hAnsi="Times New Roman" w:cs="Times New Roman"/>
              </w:rPr>
            </w:pPr>
          </w:p>
          <w:p w14:paraId="391D5404" w14:textId="77777777" w:rsidR="006A5796" w:rsidRPr="006A5796" w:rsidRDefault="006A5796" w:rsidP="006A5796">
            <w:pPr>
              <w:tabs>
                <w:tab w:val="left" w:pos="-1440"/>
                <w:tab w:val="left" w:pos="-720"/>
              </w:tabs>
              <w:spacing w:line="240" w:lineRule="atLeast"/>
              <w:jc w:val="both"/>
              <w:rPr>
                <w:rFonts w:ascii="Times New Roman" w:hAnsi="Times New Roman" w:cs="Times New Roman"/>
              </w:rPr>
            </w:pPr>
            <w:r w:rsidRPr="006A5796">
              <w:rPr>
                <w:rFonts w:ascii="Times New Roman" w:hAnsi="Times New Roman" w:cs="Times New Roman"/>
              </w:rPr>
              <w:t>The participant’s tender application must be divided into two document packages.</w:t>
            </w:r>
          </w:p>
          <w:p w14:paraId="0B853B9D" w14:textId="77777777" w:rsidR="006A5796" w:rsidRPr="00DA46D1" w:rsidRDefault="006A5796" w:rsidP="006A5796">
            <w:pPr>
              <w:tabs>
                <w:tab w:val="left" w:pos="-1440"/>
                <w:tab w:val="left" w:pos="-720"/>
              </w:tabs>
              <w:spacing w:line="240" w:lineRule="atLeast"/>
              <w:jc w:val="both"/>
              <w:rPr>
                <w:rFonts w:ascii="Times New Roman" w:hAnsi="Times New Roman" w:cs="Times New Roman"/>
              </w:rPr>
            </w:pPr>
          </w:p>
          <w:p w14:paraId="352CFB0A" w14:textId="77777777" w:rsidR="006A5796" w:rsidRPr="006A5796" w:rsidRDefault="006A5796" w:rsidP="006A5796">
            <w:pPr>
              <w:tabs>
                <w:tab w:val="left" w:pos="-1440"/>
                <w:tab w:val="left" w:pos="-720"/>
              </w:tabs>
              <w:spacing w:line="240" w:lineRule="atLeast"/>
              <w:jc w:val="both"/>
              <w:rPr>
                <w:rFonts w:ascii="Times New Roman" w:hAnsi="Times New Roman" w:cs="Times New Roman"/>
              </w:rPr>
            </w:pPr>
            <w:r w:rsidRPr="006A5796">
              <w:rPr>
                <w:rFonts w:ascii="Times New Roman" w:hAnsi="Times New Roman" w:cs="Times New Roman"/>
              </w:rPr>
              <w:t>First Document Package:</w:t>
            </w:r>
          </w:p>
          <w:p w14:paraId="7CF95233" w14:textId="46156C7E" w:rsidR="006A5796" w:rsidRPr="006A5796" w:rsidRDefault="006A5796" w:rsidP="006A5796">
            <w:pPr>
              <w:tabs>
                <w:tab w:val="left" w:pos="-1440"/>
                <w:tab w:val="left" w:pos="-720"/>
              </w:tabs>
              <w:spacing w:line="240" w:lineRule="atLeast"/>
              <w:jc w:val="both"/>
              <w:rPr>
                <w:rFonts w:ascii="Times New Roman" w:hAnsi="Times New Roman" w:cs="Times New Roman"/>
              </w:rPr>
            </w:pPr>
            <w:r w:rsidRPr="006A5796">
              <w:rPr>
                <w:rFonts w:ascii="Times New Roman" w:hAnsi="Times New Roman" w:cs="Times New Roman"/>
              </w:rPr>
              <w:t>1. Qualification and Technical Proposals of the participant.</w:t>
            </w:r>
          </w:p>
          <w:p w14:paraId="03D37062" w14:textId="77777777" w:rsidR="006A5796" w:rsidRPr="006A5796" w:rsidRDefault="006A5796" w:rsidP="006A5796">
            <w:pPr>
              <w:tabs>
                <w:tab w:val="left" w:pos="-1440"/>
                <w:tab w:val="left" w:pos="-720"/>
              </w:tabs>
              <w:spacing w:line="240" w:lineRule="atLeast"/>
              <w:jc w:val="both"/>
              <w:rPr>
                <w:rFonts w:ascii="Times New Roman" w:hAnsi="Times New Roman" w:cs="Times New Roman"/>
                <w:b/>
              </w:rPr>
            </w:pPr>
            <w:r w:rsidRPr="006A5796">
              <w:rPr>
                <w:rFonts w:ascii="Times New Roman" w:hAnsi="Times New Roman" w:cs="Times New Roman"/>
                <w:b/>
              </w:rPr>
              <w:t>Indication of the proposal price or any other data revealing the price in the first document package is not permitted.</w:t>
            </w:r>
          </w:p>
          <w:p w14:paraId="618B0AD5" w14:textId="77777777" w:rsidR="006A5796" w:rsidRPr="006A5796" w:rsidRDefault="006A5796" w:rsidP="006A5796">
            <w:pPr>
              <w:tabs>
                <w:tab w:val="left" w:pos="-1440"/>
                <w:tab w:val="left" w:pos="-720"/>
              </w:tabs>
              <w:spacing w:line="240" w:lineRule="atLeast"/>
              <w:jc w:val="both"/>
              <w:rPr>
                <w:rFonts w:ascii="Times New Roman" w:hAnsi="Times New Roman" w:cs="Times New Roman"/>
                <w:b/>
              </w:rPr>
            </w:pPr>
            <w:r w:rsidRPr="006A5796">
              <w:rPr>
                <w:rFonts w:ascii="Times New Roman" w:hAnsi="Times New Roman" w:cs="Times New Roman"/>
                <w:b/>
              </w:rPr>
              <w:t>A participant’s proposal that discloses pricing information in the first package is subject to rejection.</w:t>
            </w:r>
          </w:p>
          <w:p w14:paraId="2E2B862A" w14:textId="77777777" w:rsidR="006A5796" w:rsidRPr="006A5796" w:rsidRDefault="006A5796" w:rsidP="006A5796">
            <w:pPr>
              <w:tabs>
                <w:tab w:val="left" w:pos="-1440"/>
                <w:tab w:val="left" w:pos="-720"/>
              </w:tabs>
              <w:spacing w:line="240" w:lineRule="atLeast"/>
              <w:jc w:val="both"/>
              <w:rPr>
                <w:rFonts w:ascii="Times New Roman" w:hAnsi="Times New Roman" w:cs="Times New Roman"/>
              </w:rPr>
            </w:pPr>
          </w:p>
          <w:p w14:paraId="237DC4B0" w14:textId="77777777" w:rsidR="006A5796" w:rsidRPr="006A5796" w:rsidRDefault="006A5796" w:rsidP="006A5796">
            <w:pPr>
              <w:tabs>
                <w:tab w:val="left" w:pos="-1440"/>
                <w:tab w:val="left" w:pos="-720"/>
              </w:tabs>
              <w:spacing w:line="240" w:lineRule="atLeast"/>
              <w:jc w:val="both"/>
              <w:rPr>
                <w:rFonts w:ascii="Times New Roman" w:hAnsi="Times New Roman" w:cs="Times New Roman"/>
                <w:b/>
              </w:rPr>
            </w:pPr>
            <w:r w:rsidRPr="006A5796">
              <w:rPr>
                <w:rFonts w:ascii="Times New Roman" w:hAnsi="Times New Roman" w:cs="Times New Roman"/>
                <w:b/>
              </w:rPr>
              <w:t>Second Document Package:</w:t>
            </w:r>
          </w:p>
          <w:p w14:paraId="2AEF6370" w14:textId="77777777" w:rsidR="006A5796" w:rsidRPr="006A5796" w:rsidRDefault="006A5796" w:rsidP="006A5796">
            <w:pPr>
              <w:tabs>
                <w:tab w:val="left" w:pos="-1440"/>
                <w:tab w:val="left" w:pos="-720"/>
              </w:tabs>
              <w:spacing w:line="240" w:lineRule="atLeast"/>
              <w:jc w:val="both"/>
              <w:rPr>
                <w:rFonts w:ascii="Times New Roman" w:hAnsi="Times New Roman" w:cs="Times New Roman"/>
                <w:b/>
              </w:rPr>
            </w:pPr>
            <w:r w:rsidRPr="006A5796">
              <w:rPr>
                <w:rFonts w:ascii="Times New Roman" w:hAnsi="Times New Roman" w:cs="Times New Roman"/>
                <w:b/>
              </w:rPr>
              <w:t>2. The subject line of the email must state:</w:t>
            </w:r>
          </w:p>
          <w:p w14:paraId="3CC68ED0" w14:textId="77777777" w:rsidR="006A5796" w:rsidRPr="006A5796" w:rsidRDefault="006A5796" w:rsidP="006A5796">
            <w:pPr>
              <w:tabs>
                <w:tab w:val="left" w:pos="-1440"/>
                <w:tab w:val="left" w:pos="-720"/>
              </w:tabs>
              <w:spacing w:line="240" w:lineRule="atLeast"/>
              <w:jc w:val="both"/>
              <w:rPr>
                <w:rFonts w:ascii="Times New Roman" w:hAnsi="Times New Roman" w:cs="Times New Roman"/>
                <w:b/>
              </w:rPr>
            </w:pPr>
            <w:r w:rsidRPr="006A5796">
              <w:rPr>
                <w:rFonts w:ascii="Times New Roman" w:hAnsi="Times New Roman" w:cs="Times New Roman"/>
                <w:b/>
              </w:rPr>
              <w:t>“Price Proposal (name of participant)”</w:t>
            </w:r>
          </w:p>
          <w:p w14:paraId="28619436" w14:textId="77777777" w:rsidR="006A5796" w:rsidRPr="006A5796" w:rsidRDefault="006A5796" w:rsidP="006A5796">
            <w:pPr>
              <w:tabs>
                <w:tab w:val="left" w:pos="-1440"/>
                <w:tab w:val="left" w:pos="-720"/>
              </w:tabs>
              <w:spacing w:line="240" w:lineRule="atLeast"/>
              <w:jc w:val="both"/>
              <w:rPr>
                <w:rFonts w:ascii="Times New Roman" w:hAnsi="Times New Roman" w:cs="Times New Roman"/>
                <w:b/>
              </w:rPr>
            </w:pPr>
            <w:r w:rsidRPr="006A5796">
              <w:rPr>
                <w:rFonts w:ascii="Times New Roman" w:hAnsi="Times New Roman" w:cs="Times New Roman"/>
                <w:b/>
              </w:rPr>
              <w:t>The contents of the email must be password-protected.</w:t>
            </w:r>
          </w:p>
          <w:p w14:paraId="0C7D6828" w14:textId="797865C6" w:rsidR="00796153" w:rsidRPr="006A5796" w:rsidRDefault="006A5796" w:rsidP="006A5796">
            <w:pPr>
              <w:tabs>
                <w:tab w:val="left" w:pos="-1440"/>
                <w:tab w:val="left" w:pos="-720"/>
              </w:tabs>
              <w:spacing w:line="240" w:lineRule="atLeast"/>
              <w:jc w:val="both"/>
              <w:rPr>
                <w:rFonts w:ascii="Times New Roman" w:hAnsi="Times New Roman" w:cs="Times New Roman"/>
                <w:b/>
                <w:bCs/>
              </w:rPr>
            </w:pPr>
            <w:r w:rsidRPr="006A5796">
              <w:rPr>
                <w:rFonts w:ascii="Times New Roman" w:hAnsi="Times New Roman" w:cs="Times New Roman"/>
                <w:b/>
              </w:rPr>
              <w:t>The password will be requested from the participant if the participant successfully passes the first stage of evaluation.</w:t>
            </w:r>
          </w:p>
        </w:tc>
      </w:tr>
      <w:tr w:rsidR="00612C4A" w:rsidRPr="006A5796" w14:paraId="373FA188" w14:textId="77777777" w:rsidTr="006A5796">
        <w:tc>
          <w:tcPr>
            <w:tcW w:w="2840" w:type="dxa"/>
            <w:vMerge w:val="restart"/>
          </w:tcPr>
          <w:p w14:paraId="357F3982" w14:textId="4A753B0D" w:rsidR="00612C4A" w:rsidRPr="006A5796" w:rsidRDefault="006A5796" w:rsidP="00CF7F96">
            <w:pPr>
              <w:pStyle w:val="a7"/>
              <w:autoSpaceDE w:val="0"/>
              <w:autoSpaceDN w:val="0"/>
              <w:adjustRightInd w:val="0"/>
              <w:ind w:left="0"/>
              <w:jc w:val="both"/>
              <w:rPr>
                <w:rFonts w:ascii="Times New Roman" w:hAnsi="Times New Roman" w:cs="Times New Roman"/>
                <w:b/>
                <w:bCs/>
              </w:rPr>
            </w:pPr>
            <w:bookmarkStart w:id="0" w:name="_Hlk185512776"/>
            <w:r w:rsidRPr="006A5796">
              <w:rPr>
                <w:rFonts w:ascii="Times New Roman" w:hAnsi="Times New Roman" w:cs="Times New Roman"/>
                <w:b/>
                <w:bCs/>
              </w:rPr>
              <w:t>The Application for Participation must include the following documents</w:t>
            </w:r>
            <w:r w:rsidR="00612C4A" w:rsidRPr="006A5796">
              <w:rPr>
                <w:rFonts w:ascii="Times New Roman" w:hAnsi="Times New Roman" w:cs="Times New Roman"/>
                <w:b/>
                <w:bCs/>
              </w:rPr>
              <w:t>:</w:t>
            </w:r>
            <w:bookmarkEnd w:id="0"/>
          </w:p>
        </w:tc>
        <w:tc>
          <w:tcPr>
            <w:tcW w:w="8176" w:type="dxa"/>
          </w:tcPr>
          <w:p w14:paraId="6CCE0917" w14:textId="05080C50" w:rsidR="00612C4A" w:rsidRPr="006A5796" w:rsidRDefault="006A5796" w:rsidP="00CF7F96">
            <w:pPr>
              <w:tabs>
                <w:tab w:val="left" w:pos="1613"/>
              </w:tabs>
              <w:jc w:val="both"/>
              <w:rPr>
                <w:rFonts w:ascii="Times New Roman" w:hAnsi="Times New Roman" w:cs="Times New Roman"/>
              </w:rPr>
            </w:pPr>
            <w:r w:rsidRPr="006A5796">
              <w:rPr>
                <w:rFonts w:ascii="Times New Roman" w:eastAsia="Times New Roman" w:hAnsi="Times New Roman" w:cs="Times New Roman"/>
                <w:lang w:eastAsia="zh-CN"/>
              </w:rPr>
              <w:t>A letter confirming the interest in participation</w:t>
            </w:r>
            <w:r w:rsidR="00612C4A" w:rsidRPr="006A5796">
              <w:rPr>
                <w:rFonts w:ascii="Times New Roman" w:eastAsia="Times New Roman" w:hAnsi="Times New Roman" w:cs="Times New Roman"/>
                <w:lang w:eastAsia="zh-CN"/>
              </w:rPr>
              <w:t>.</w:t>
            </w:r>
          </w:p>
        </w:tc>
      </w:tr>
      <w:tr w:rsidR="00612C4A" w:rsidRPr="006A5796" w14:paraId="5552D7AB" w14:textId="77777777" w:rsidTr="006A5796">
        <w:tc>
          <w:tcPr>
            <w:tcW w:w="2840" w:type="dxa"/>
            <w:vMerge/>
          </w:tcPr>
          <w:p w14:paraId="1F24A0B8" w14:textId="77777777" w:rsidR="00612C4A" w:rsidRPr="006A5796" w:rsidRDefault="00612C4A" w:rsidP="00CF7F96">
            <w:pPr>
              <w:pStyle w:val="a7"/>
              <w:autoSpaceDE w:val="0"/>
              <w:autoSpaceDN w:val="0"/>
              <w:adjustRightInd w:val="0"/>
              <w:ind w:left="0"/>
              <w:jc w:val="both"/>
              <w:rPr>
                <w:rFonts w:ascii="Times New Roman" w:hAnsi="Times New Roman" w:cs="Times New Roman"/>
                <w:b/>
                <w:bCs/>
              </w:rPr>
            </w:pPr>
          </w:p>
        </w:tc>
        <w:tc>
          <w:tcPr>
            <w:tcW w:w="8176" w:type="dxa"/>
          </w:tcPr>
          <w:p w14:paraId="5B36832A" w14:textId="4857752E" w:rsidR="00612C4A" w:rsidRPr="006A5796" w:rsidRDefault="006A5796" w:rsidP="00CF7F96">
            <w:pPr>
              <w:tabs>
                <w:tab w:val="left" w:pos="270"/>
              </w:tabs>
              <w:autoSpaceDE w:val="0"/>
              <w:autoSpaceDN w:val="0"/>
              <w:adjustRightInd w:val="0"/>
              <w:jc w:val="both"/>
              <w:rPr>
                <w:rFonts w:ascii="Times New Roman" w:hAnsi="Times New Roman" w:cs="Times New Roman"/>
              </w:rPr>
            </w:pPr>
            <w:r w:rsidRPr="006A5796">
              <w:rPr>
                <w:rFonts w:ascii="Times New Roman" w:eastAsia="Times New Roman" w:hAnsi="Times New Roman" w:cs="Times New Roman"/>
                <w:lang w:eastAsia="zh-CN"/>
              </w:rPr>
              <w:t xml:space="preserve">Proof of experience in performing at least 2 (two) similar contracts. Provide supporting documents: similar contracts in an amount not less than the amount of the tender proposal, </w:t>
            </w:r>
            <w:r w:rsidRPr="006A5796">
              <w:rPr>
                <w:rFonts w:ascii="Times New Roman" w:eastAsia="Times New Roman" w:hAnsi="Times New Roman" w:cs="Times New Roman"/>
                <w:lang w:eastAsia="zh-CN"/>
              </w:rPr>
              <w:lastRenderedPageBreak/>
              <w:t>acts of acceptance, invoices, references and recommendations from previous customers</w:t>
            </w:r>
            <w:r w:rsidR="00612C4A" w:rsidRPr="006A5796">
              <w:rPr>
                <w:rFonts w:ascii="Times New Roman" w:eastAsia="Times New Roman" w:hAnsi="Times New Roman" w:cs="Times New Roman"/>
                <w:lang w:eastAsia="zh-CN"/>
              </w:rPr>
              <w:t>.</w:t>
            </w:r>
          </w:p>
        </w:tc>
      </w:tr>
      <w:tr w:rsidR="00612C4A" w:rsidRPr="006A5796" w14:paraId="016385E7" w14:textId="77777777" w:rsidTr="006A5796">
        <w:tc>
          <w:tcPr>
            <w:tcW w:w="2840" w:type="dxa"/>
            <w:vMerge/>
          </w:tcPr>
          <w:p w14:paraId="6628AD29" w14:textId="77777777" w:rsidR="00612C4A" w:rsidRPr="006A5796" w:rsidRDefault="00612C4A" w:rsidP="00CF7F96">
            <w:pPr>
              <w:pStyle w:val="a7"/>
              <w:autoSpaceDE w:val="0"/>
              <w:autoSpaceDN w:val="0"/>
              <w:adjustRightInd w:val="0"/>
              <w:ind w:left="0"/>
              <w:jc w:val="both"/>
              <w:rPr>
                <w:rFonts w:ascii="Times New Roman" w:hAnsi="Times New Roman" w:cs="Times New Roman"/>
                <w:b/>
                <w:bCs/>
              </w:rPr>
            </w:pPr>
          </w:p>
        </w:tc>
        <w:tc>
          <w:tcPr>
            <w:tcW w:w="8176" w:type="dxa"/>
          </w:tcPr>
          <w:p w14:paraId="432DA83D" w14:textId="77777777" w:rsidR="006A5796" w:rsidRPr="006A5796" w:rsidRDefault="006A5796" w:rsidP="006A5796">
            <w:pPr>
              <w:tabs>
                <w:tab w:val="left" w:pos="270"/>
              </w:tabs>
              <w:autoSpaceDE w:val="0"/>
              <w:autoSpaceDN w:val="0"/>
              <w:adjustRightInd w:val="0"/>
              <w:jc w:val="both"/>
              <w:rPr>
                <w:rFonts w:ascii="Times New Roman" w:hAnsi="Times New Roman" w:cs="Times New Roman"/>
              </w:rPr>
            </w:pPr>
            <w:r w:rsidRPr="006A5796">
              <w:rPr>
                <w:rFonts w:ascii="Times New Roman" w:hAnsi="Times New Roman" w:cs="Times New Roman"/>
              </w:rPr>
              <w:t>For residents of the Kyrgyz Republic – a scanned copy of the original certificate from the Social Fund confirming absence of arrears.</w:t>
            </w:r>
          </w:p>
          <w:p w14:paraId="160CBAB6" w14:textId="499C11D6" w:rsidR="00612C4A" w:rsidRPr="006A5796" w:rsidRDefault="006A5796" w:rsidP="006A5796">
            <w:pPr>
              <w:tabs>
                <w:tab w:val="left" w:pos="270"/>
              </w:tabs>
              <w:autoSpaceDE w:val="0"/>
              <w:autoSpaceDN w:val="0"/>
              <w:adjustRightInd w:val="0"/>
              <w:jc w:val="both"/>
              <w:rPr>
                <w:rFonts w:ascii="Times New Roman" w:hAnsi="Times New Roman" w:cs="Times New Roman"/>
              </w:rPr>
            </w:pPr>
            <w:r w:rsidRPr="006A5796">
              <w:rPr>
                <w:rFonts w:ascii="Times New Roman" w:hAnsi="Times New Roman" w:cs="Times New Roman"/>
              </w:rPr>
              <w:t>For non-residents of the Kyrgyz Republic – in accordance with the legislation of the country of residence of the non-resident</w:t>
            </w:r>
            <w:r w:rsidR="00612C4A" w:rsidRPr="006A5796">
              <w:rPr>
                <w:rFonts w:ascii="Times New Roman" w:hAnsi="Times New Roman" w:cs="Times New Roman"/>
              </w:rPr>
              <w:t>.</w:t>
            </w:r>
          </w:p>
        </w:tc>
      </w:tr>
      <w:tr w:rsidR="00612C4A" w:rsidRPr="006A5796" w14:paraId="44CF9312" w14:textId="77777777" w:rsidTr="006A5796">
        <w:tc>
          <w:tcPr>
            <w:tcW w:w="2840" w:type="dxa"/>
            <w:vMerge/>
          </w:tcPr>
          <w:p w14:paraId="6214A1B8" w14:textId="77777777" w:rsidR="00612C4A" w:rsidRPr="006A5796" w:rsidRDefault="00612C4A" w:rsidP="00CF7F96">
            <w:pPr>
              <w:pStyle w:val="a7"/>
              <w:autoSpaceDE w:val="0"/>
              <w:autoSpaceDN w:val="0"/>
              <w:adjustRightInd w:val="0"/>
              <w:ind w:left="0"/>
              <w:jc w:val="both"/>
              <w:rPr>
                <w:rFonts w:ascii="Times New Roman" w:hAnsi="Times New Roman" w:cs="Times New Roman"/>
                <w:b/>
                <w:bCs/>
              </w:rPr>
            </w:pPr>
          </w:p>
        </w:tc>
        <w:tc>
          <w:tcPr>
            <w:tcW w:w="8176" w:type="dxa"/>
          </w:tcPr>
          <w:p w14:paraId="7948F874" w14:textId="77777777" w:rsidR="006A5796" w:rsidRPr="006A5796" w:rsidRDefault="006A5796" w:rsidP="006A5796">
            <w:pPr>
              <w:spacing w:line="276" w:lineRule="auto"/>
              <w:jc w:val="both"/>
              <w:rPr>
                <w:rFonts w:ascii="Times New Roman" w:eastAsia="Times New Roman" w:hAnsi="Times New Roman" w:cs="Times New Roman"/>
                <w:lang w:eastAsia="zh-CN"/>
              </w:rPr>
            </w:pPr>
            <w:r w:rsidRPr="006A5796">
              <w:rPr>
                <w:rFonts w:ascii="Times New Roman" w:eastAsia="Times New Roman" w:hAnsi="Times New Roman" w:cs="Times New Roman"/>
                <w:lang w:eastAsia="zh-CN"/>
              </w:rPr>
              <w:t>Scanned copies of original financial statements for 2023–2024:</w:t>
            </w:r>
          </w:p>
          <w:p w14:paraId="7F706F7A" w14:textId="79259D44" w:rsidR="006A5796" w:rsidRPr="006A5796" w:rsidRDefault="006A5796" w:rsidP="006A5796">
            <w:pPr>
              <w:pStyle w:val="a7"/>
              <w:numPr>
                <w:ilvl w:val="0"/>
                <w:numId w:val="15"/>
              </w:numPr>
              <w:spacing w:line="276" w:lineRule="auto"/>
              <w:jc w:val="both"/>
              <w:rPr>
                <w:rFonts w:ascii="Times New Roman" w:eastAsia="Times New Roman" w:hAnsi="Times New Roman" w:cs="Times New Roman"/>
                <w:lang w:eastAsia="zh-CN"/>
              </w:rPr>
            </w:pPr>
            <w:r w:rsidRPr="006A5796">
              <w:rPr>
                <w:rFonts w:ascii="Times New Roman" w:eastAsia="Times New Roman" w:hAnsi="Times New Roman" w:cs="Times New Roman"/>
                <w:lang w:eastAsia="zh-CN"/>
              </w:rPr>
              <w:t>Balance Sheet;</w:t>
            </w:r>
          </w:p>
          <w:p w14:paraId="17718665" w14:textId="3D4A44D7" w:rsidR="006A5796" w:rsidRPr="006A5796" w:rsidRDefault="006A5796" w:rsidP="006A5796">
            <w:pPr>
              <w:pStyle w:val="a7"/>
              <w:numPr>
                <w:ilvl w:val="0"/>
                <w:numId w:val="15"/>
              </w:numPr>
              <w:spacing w:line="276" w:lineRule="auto"/>
              <w:jc w:val="both"/>
              <w:rPr>
                <w:rFonts w:ascii="Times New Roman" w:eastAsia="Times New Roman" w:hAnsi="Times New Roman" w:cs="Times New Roman"/>
                <w:lang w:eastAsia="zh-CN"/>
              </w:rPr>
            </w:pPr>
            <w:r w:rsidRPr="006A5796">
              <w:rPr>
                <w:rFonts w:ascii="Times New Roman" w:eastAsia="Times New Roman" w:hAnsi="Times New Roman" w:cs="Times New Roman"/>
                <w:lang w:eastAsia="zh-CN"/>
              </w:rPr>
              <w:t>Income Statement;</w:t>
            </w:r>
          </w:p>
          <w:p w14:paraId="793D99E5" w14:textId="425A7EDB" w:rsidR="006A5796" w:rsidRPr="006A5796" w:rsidRDefault="006A5796" w:rsidP="006A5796">
            <w:pPr>
              <w:pStyle w:val="a7"/>
              <w:numPr>
                <w:ilvl w:val="0"/>
                <w:numId w:val="15"/>
              </w:numPr>
              <w:spacing w:line="276" w:lineRule="auto"/>
              <w:jc w:val="both"/>
              <w:rPr>
                <w:rFonts w:ascii="Times New Roman" w:eastAsia="Times New Roman" w:hAnsi="Times New Roman" w:cs="Times New Roman"/>
                <w:lang w:eastAsia="zh-CN"/>
              </w:rPr>
            </w:pPr>
            <w:r w:rsidRPr="006A5796">
              <w:rPr>
                <w:rFonts w:ascii="Times New Roman" w:eastAsia="Times New Roman" w:hAnsi="Times New Roman" w:cs="Times New Roman"/>
                <w:lang w:eastAsia="zh-CN"/>
              </w:rPr>
              <w:t>Cash Flow Statement;</w:t>
            </w:r>
          </w:p>
          <w:p w14:paraId="4B45D1CA" w14:textId="59246A57" w:rsidR="006A5796" w:rsidRPr="006A5796" w:rsidRDefault="006A5796" w:rsidP="006A5796">
            <w:pPr>
              <w:pStyle w:val="a7"/>
              <w:numPr>
                <w:ilvl w:val="0"/>
                <w:numId w:val="15"/>
              </w:numPr>
              <w:spacing w:line="276" w:lineRule="auto"/>
              <w:jc w:val="both"/>
              <w:rPr>
                <w:rFonts w:ascii="Times New Roman" w:eastAsia="Times New Roman" w:hAnsi="Times New Roman" w:cs="Times New Roman"/>
                <w:lang w:eastAsia="zh-CN"/>
              </w:rPr>
            </w:pPr>
            <w:r w:rsidRPr="006A5796">
              <w:rPr>
                <w:rFonts w:ascii="Times New Roman" w:eastAsia="Times New Roman" w:hAnsi="Times New Roman" w:cs="Times New Roman"/>
                <w:lang w:eastAsia="zh-CN"/>
              </w:rPr>
              <w:t>Statement of Changes in Equity.</w:t>
            </w:r>
          </w:p>
          <w:p w14:paraId="00A7EA2E" w14:textId="2FCEE540" w:rsidR="00612C4A" w:rsidRPr="00DA46D1" w:rsidRDefault="006A5796" w:rsidP="006A5796">
            <w:pPr>
              <w:tabs>
                <w:tab w:val="left" w:pos="990"/>
              </w:tabs>
              <w:jc w:val="both"/>
              <w:rPr>
                <w:rFonts w:ascii="Times New Roman" w:hAnsi="Times New Roman" w:cs="Times New Roman"/>
              </w:rPr>
            </w:pPr>
            <w:r w:rsidRPr="006A5796">
              <w:rPr>
                <w:rFonts w:ascii="Times New Roman" w:eastAsia="Times New Roman" w:hAnsi="Times New Roman" w:cs="Times New Roman"/>
                <w:lang w:eastAsia="zh-CN"/>
              </w:rPr>
              <w:t>Or the Unified Tax Declaration for 2023–2024.</w:t>
            </w:r>
          </w:p>
        </w:tc>
      </w:tr>
      <w:tr w:rsidR="00612C4A" w:rsidRPr="006A5796" w14:paraId="253FDD1B" w14:textId="77777777" w:rsidTr="006A5796">
        <w:tc>
          <w:tcPr>
            <w:tcW w:w="2840" w:type="dxa"/>
            <w:vMerge/>
          </w:tcPr>
          <w:p w14:paraId="6A49E165" w14:textId="77777777" w:rsidR="00612C4A" w:rsidRPr="00DA46D1" w:rsidRDefault="00612C4A" w:rsidP="00CF7F96">
            <w:pPr>
              <w:pStyle w:val="a7"/>
              <w:autoSpaceDE w:val="0"/>
              <w:autoSpaceDN w:val="0"/>
              <w:adjustRightInd w:val="0"/>
              <w:ind w:left="0"/>
              <w:jc w:val="both"/>
              <w:rPr>
                <w:rFonts w:ascii="Times New Roman" w:hAnsi="Times New Roman" w:cs="Times New Roman"/>
                <w:b/>
                <w:bCs/>
              </w:rPr>
            </w:pPr>
          </w:p>
        </w:tc>
        <w:tc>
          <w:tcPr>
            <w:tcW w:w="8176" w:type="dxa"/>
          </w:tcPr>
          <w:p w14:paraId="606C02F1" w14:textId="77777777" w:rsidR="006A5796" w:rsidRPr="006A5796" w:rsidRDefault="006A5796" w:rsidP="006A5796">
            <w:pPr>
              <w:spacing w:line="276" w:lineRule="auto"/>
              <w:jc w:val="both"/>
              <w:rPr>
                <w:rFonts w:ascii="Times New Roman" w:eastAsia="Times New Roman" w:hAnsi="Times New Roman" w:cs="Times New Roman"/>
                <w:lang w:eastAsia="zh-CN"/>
              </w:rPr>
            </w:pPr>
            <w:r w:rsidRPr="006A5796">
              <w:rPr>
                <w:rFonts w:ascii="Times New Roman" w:eastAsia="Times New Roman" w:hAnsi="Times New Roman" w:cs="Times New Roman"/>
                <w:lang w:eastAsia="zh-CN"/>
              </w:rPr>
              <w:t>A certified copy of documents confirming the authority of the head of the organization (order on appointment of the head, extract from the minutes of the meeting of participants on appointment of the head, resolution of the sole participant of the legal entity).</w:t>
            </w:r>
          </w:p>
          <w:p w14:paraId="7CA6C77C" w14:textId="2AB9B669" w:rsidR="00612C4A" w:rsidRPr="006A5796" w:rsidRDefault="006A5796" w:rsidP="006A5796">
            <w:pPr>
              <w:spacing w:line="276" w:lineRule="auto"/>
              <w:jc w:val="both"/>
              <w:rPr>
                <w:rFonts w:ascii="Times New Roman" w:eastAsia="Times New Roman" w:hAnsi="Times New Roman" w:cs="Times New Roman"/>
                <w:lang w:eastAsia="zh-CN"/>
              </w:rPr>
            </w:pPr>
            <w:r w:rsidRPr="006A5796">
              <w:rPr>
                <w:rFonts w:ascii="Times New Roman" w:eastAsia="Times New Roman" w:hAnsi="Times New Roman" w:cs="Times New Roman"/>
                <w:lang w:eastAsia="zh-CN"/>
              </w:rPr>
              <w:t>If another person acts on behalf of the Participant – a properly certified power of attorney for the person authorized to sign contracts and other documents</w:t>
            </w:r>
          </w:p>
        </w:tc>
      </w:tr>
      <w:tr w:rsidR="00612C4A" w:rsidRPr="006A5796" w14:paraId="301FDE3A" w14:textId="77777777" w:rsidTr="006A5796">
        <w:tc>
          <w:tcPr>
            <w:tcW w:w="2840" w:type="dxa"/>
            <w:vMerge/>
          </w:tcPr>
          <w:p w14:paraId="1E120E6E" w14:textId="77777777" w:rsidR="00612C4A" w:rsidRPr="006A5796" w:rsidRDefault="00612C4A" w:rsidP="00CF7F96">
            <w:pPr>
              <w:pStyle w:val="a7"/>
              <w:autoSpaceDE w:val="0"/>
              <w:autoSpaceDN w:val="0"/>
              <w:adjustRightInd w:val="0"/>
              <w:ind w:left="0"/>
              <w:jc w:val="both"/>
              <w:rPr>
                <w:rFonts w:ascii="Times New Roman" w:hAnsi="Times New Roman" w:cs="Times New Roman"/>
                <w:b/>
                <w:bCs/>
              </w:rPr>
            </w:pPr>
          </w:p>
        </w:tc>
        <w:tc>
          <w:tcPr>
            <w:tcW w:w="8176" w:type="dxa"/>
          </w:tcPr>
          <w:p w14:paraId="35C05F96" w14:textId="7F2DDA00" w:rsidR="00612C4A" w:rsidRPr="006A5796" w:rsidRDefault="006A5796" w:rsidP="00CF7F96">
            <w:pPr>
              <w:autoSpaceDE w:val="0"/>
              <w:autoSpaceDN w:val="0"/>
              <w:adjustRightInd w:val="0"/>
              <w:jc w:val="both"/>
              <w:rPr>
                <w:rFonts w:ascii="Times New Roman" w:hAnsi="Times New Roman" w:cs="Times New Roman"/>
              </w:rPr>
            </w:pPr>
            <w:r w:rsidRPr="006A5796">
              <w:rPr>
                <w:rFonts w:ascii="Times New Roman" w:hAnsi="Times New Roman" w:cs="Times New Roman"/>
              </w:rPr>
              <w:t>A written confirmation of the absence of affiliation, as well as information about the beneficial owners</w:t>
            </w:r>
          </w:p>
        </w:tc>
      </w:tr>
      <w:tr w:rsidR="00612C4A" w:rsidRPr="006A5796" w14:paraId="4D82AAEA" w14:textId="77777777" w:rsidTr="006A5796">
        <w:tc>
          <w:tcPr>
            <w:tcW w:w="2840" w:type="dxa"/>
            <w:vMerge/>
          </w:tcPr>
          <w:p w14:paraId="519D1DA7" w14:textId="77777777" w:rsidR="00612C4A" w:rsidRPr="006A5796" w:rsidRDefault="00612C4A" w:rsidP="00CF7F96">
            <w:pPr>
              <w:jc w:val="both"/>
              <w:rPr>
                <w:rFonts w:ascii="Times New Roman" w:hAnsi="Times New Roman" w:cs="Times New Roman"/>
              </w:rPr>
            </w:pPr>
          </w:p>
        </w:tc>
        <w:tc>
          <w:tcPr>
            <w:tcW w:w="8176" w:type="dxa"/>
          </w:tcPr>
          <w:p w14:paraId="13876D8E" w14:textId="6800B8DE" w:rsidR="00612C4A" w:rsidRPr="006A5796" w:rsidRDefault="006A5796" w:rsidP="006A5796">
            <w:pPr>
              <w:spacing w:line="276" w:lineRule="auto"/>
              <w:jc w:val="both"/>
              <w:rPr>
                <w:rFonts w:ascii="Times New Roman" w:eastAsia="Times New Roman" w:hAnsi="Times New Roman" w:cs="Times New Roman"/>
                <w:lang w:eastAsia="zh-CN"/>
              </w:rPr>
            </w:pPr>
            <w:r w:rsidRPr="006A5796">
              <w:rPr>
                <w:rFonts w:ascii="Times New Roman" w:eastAsia="Times New Roman" w:hAnsi="Times New Roman" w:cs="Times New Roman"/>
                <w:lang w:eastAsia="zh-CN"/>
              </w:rPr>
              <w:t>A scanned copy of the certificate/</w:t>
            </w:r>
            <w:r w:rsidRPr="006A5796">
              <w:rPr>
                <w:rFonts w:ascii="Times New Roman" w:eastAsia="Times New Roman" w:hAnsi="Times New Roman" w:cs="Times New Roman"/>
                <w:color w:val="FF0000"/>
                <w:lang w:eastAsia="zh-CN"/>
              </w:rPr>
              <w:t>reference</w:t>
            </w:r>
            <w:r w:rsidRPr="006A5796">
              <w:rPr>
                <w:rFonts w:ascii="Times New Roman" w:eastAsia="Times New Roman" w:hAnsi="Times New Roman" w:cs="Times New Roman"/>
                <w:lang w:eastAsia="zh-CN"/>
              </w:rPr>
              <w:t xml:space="preserve"> of registration of the legal entity / individual entrepreneur.</w:t>
            </w:r>
          </w:p>
        </w:tc>
      </w:tr>
      <w:tr w:rsidR="00612C4A" w:rsidRPr="006A5796" w14:paraId="14822DC2" w14:textId="77777777" w:rsidTr="006A5796">
        <w:tc>
          <w:tcPr>
            <w:tcW w:w="2840" w:type="dxa"/>
            <w:vMerge/>
          </w:tcPr>
          <w:p w14:paraId="28E3B40B" w14:textId="77777777" w:rsidR="00612C4A" w:rsidRPr="006A5796" w:rsidRDefault="00612C4A" w:rsidP="00CF7F96">
            <w:pPr>
              <w:jc w:val="both"/>
              <w:rPr>
                <w:rFonts w:ascii="Times New Roman" w:hAnsi="Times New Roman" w:cs="Times New Roman"/>
              </w:rPr>
            </w:pPr>
          </w:p>
        </w:tc>
        <w:tc>
          <w:tcPr>
            <w:tcW w:w="8176" w:type="dxa"/>
          </w:tcPr>
          <w:p w14:paraId="427EC617" w14:textId="34D5494A" w:rsidR="00612C4A" w:rsidRPr="006A5796" w:rsidRDefault="006A5796" w:rsidP="00CF7F96">
            <w:pPr>
              <w:spacing w:before="100" w:beforeAutospacing="1" w:line="276" w:lineRule="auto"/>
              <w:jc w:val="both"/>
              <w:rPr>
                <w:rFonts w:ascii="Times New Roman" w:eastAsia="Times New Roman" w:hAnsi="Times New Roman" w:cs="Times New Roman"/>
                <w:lang w:eastAsia="zh-CN"/>
              </w:rPr>
            </w:pPr>
            <w:r w:rsidRPr="006A5796">
              <w:rPr>
                <w:rFonts w:ascii="Times New Roman" w:eastAsia="Times New Roman" w:hAnsi="Times New Roman" w:cs="Times New Roman"/>
                <w:lang w:eastAsia="zh-CN"/>
              </w:rPr>
              <w:t>A scanned copy of the document defining the main type of activity (Charter or other documents), if available</w:t>
            </w:r>
            <w:r>
              <w:rPr>
                <w:rFonts w:ascii="Times New Roman" w:eastAsia="Times New Roman" w:hAnsi="Times New Roman" w:cs="Times New Roman"/>
                <w:lang w:eastAsia="zh-CN"/>
              </w:rPr>
              <w:t>.</w:t>
            </w:r>
          </w:p>
        </w:tc>
      </w:tr>
      <w:tr w:rsidR="00612C4A" w:rsidRPr="006A5796" w14:paraId="25E96CEB" w14:textId="77777777" w:rsidTr="006A5796">
        <w:tc>
          <w:tcPr>
            <w:tcW w:w="2840" w:type="dxa"/>
            <w:vMerge/>
          </w:tcPr>
          <w:p w14:paraId="6122374D" w14:textId="77777777" w:rsidR="00612C4A" w:rsidRPr="006A5796" w:rsidRDefault="00612C4A" w:rsidP="00CF7F96">
            <w:pPr>
              <w:jc w:val="both"/>
              <w:rPr>
                <w:rFonts w:ascii="Times New Roman" w:hAnsi="Times New Roman" w:cs="Times New Roman"/>
              </w:rPr>
            </w:pPr>
          </w:p>
        </w:tc>
        <w:tc>
          <w:tcPr>
            <w:tcW w:w="8176" w:type="dxa"/>
          </w:tcPr>
          <w:p w14:paraId="78B07E47" w14:textId="09DB4D42" w:rsidR="00612C4A" w:rsidRPr="006A5796" w:rsidRDefault="006A5796" w:rsidP="00CF7F96">
            <w:pPr>
              <w:spacing w:line="276" w:lineRule="auto"/>
              <w:jc w:val="both"/>
              <w:rPr>
                <w:rFonts w:ascii="Times New Roman" w:eastAsia="Times New Roman" w:hAnsi="Times New Roman" w:cs="Times New Roman"/>
                <w:lang w:eastAsia="zh-CN"/>
              </w:rPr>
            </w:pPr>
            <w:r w:rsidRPr="006A5796">
              <w:rPr>
                <w:rFonts w:ascii="Times New Roman" w:eastAsia="Times New Roman" w:hAnsi="Times New Roman" w:cs="Times New Roman"/>
                <w:lang w:eastAsia="zh-CN"/>
              </w:rPr>
              <w:t>Properly completed annexes — signed by the authorized representative and stamped by the organization. Forms containing cost information must be included in the second document package together with the price proposal</w:t>
            </w:r>
            <w:r>
              <w:rPr>
                <w:rFonts w:ascii="Times New Roman" w:eastAsia="Times New Roman" w:hAnsi="Times New Roman" w:cs="Times New Roman"/>
                <w:lang w:eastAsia="zh-CN"/>
              </w:rPr>
              <w:t>.</w:t>
            </w:r>
          </w:p>
        </w:tc>
      </w:tr>
      <w:tr w:rsidR="00612C4A" w:rsidRPr="006A5796" w14:paraId="55FF22FB" w14:textId="77777777" w:rsidTr="006A5796">
        <w:tc>
          <w:tcPr>
            <w:tcW w:w="2840" w:type="dxa"/>
            <w:vMerge/>
          </w:tcPr>
          <w:p w14:paraId="3814B333" w14:textId="77777777" w:rsidR="00612C4A" w:rsidRPr="006A5796" w:rsidRDefault="00612C4A" w:rsidP="00CF7F96">
            <w:pPr>
              <w:jc w:val="both"/>
              <w:rPr>
                <w:rFonts w:ascii="Times New Roman" w:hAnsi="Times New Roman" w:cs="Times New Roman"/>
              </w:rPr>
            </w:pPr>
          </w:p>
        </w:tc>
        <w:tc>
          <w:tcPr>
            <w:tcW w:w="8176" w:type="dxa"/>
          </w:tcPr>
          <w:p w14:paraId="0D2B6CF1" w14:textId="000F592B" w:rsidR="00612C4A" w:rsidRPr="006A5796" w:rsidRDefault="006A5796" w:rsidP="00CF7F96">
            <w:pPr>
              <w:spacing w:line="276" w:lineRule="auto"/>
              <w:jc w:val="both"/>
              <w:rPr>
                <w:rFonts w:ascii="Times New Roman" w:eastAsia="Times New Roman" w:hAnsi="Times New Roman" w:cs="Times New Roman"/>
                <w:lang w:eastAsia="zh-CN"/>
              </w:rPr>
            </w:pPr>
            <w:r w:rsidRPr="006A5796">
              <w:rPr>
                <w:rFonts w:ascii="Times New Roman" w:eastAsia="Times New Roman" w:hAnsi="Times New Roman" w:cs="Times New Roman"/>
                <w:lang w:eastAsia="zh-CN"/>
              </w:rPr>
              <w:t>In case of participation of a dealer or distributor – authorization from the manufacturer</w:t>
            </w:r>
          </w:p>
        </w:tc>
      </w:tr>
      <w:tr w:rsidR="00846E88" w:rsidRPr="006A5796" w14:paraId="035DDDC2" w14:textId="77777777" w:rsidTr="00846E88">
        <w:tc>
          <w:tcPr>
            <w:tcW w:w="0" w:type="auto"/>
            <w:hideMark/>
          </w:tcPr>
          <w:p w14:paraId="39FB70F3" w14:textId="163E5F8D" w:rsidR="00846E88" w:rsidRPr="00846E88" w:rsidRDefault="006A5796" w:rsidP="00846E88">
            <w:pPr>
              <w:spacing w:before="100" w:beforeAutospacing="1" w:after="100" w:afterAutospacing="1"/>
              <w:rPr>
                <w:rFonts w:ascii="Times New Roman" w:eastAsia="Times New Roman" w:hAnsi="Times New Roman" w:cs="Times New Roman"/>
              </w:rPr>
            </w:pPr>
            <w:r w:rsidRPr="006A5796">
              <w:rPr>
                <w:rFonts w:ascii="Times New Roman" w:eastAsia="Times New Roman" w:hAnsi="Times New Roman" w:cs="Times New Roman"/>
                <w:b/>
                <w:bCs/>
              </w:rPr>
              <w:t>Evaluation Criteria: Package 1.</w:t>
            </w:r>
          </w:p>
        </w:tc>
        <w:tc>
          <w:tcPr>
            <w:tcW w:w="0" w:type="auto"/>
            <w:hideMark/>
          </w:tcPr>
          <w:p w14:paraId="7E28EECB" w14:textId="03A6025A" w:rsidR="00846E88" w:rsidRPr="006A5796" w:rsidRDefault="006A5796" w:rsidP="00846E88">
            <w:pPr>
              <w:spacing w:before="100" w:beforeAutospacing="1" w:after="100" w:afterAutospacing="1"/>
              <w:rPr>
                <w:rFonts w:ascii="Times New Roman" w:eastAsia="Times New Roman" w:hAnsi="Times New Roman" w:cs="Times New Roman"/>
                <w:color w:val="EE0000"/>
              </w:rPr>
            </w:pPr>
            <w:r w:rsidRPr="006A5796">
              <w:rPr>
                <w:rFonts w:ascii="Times New Roman" w:eastAsia="Times New Roman" w:hAnsi="Times New Roman" w:cs="Times New Roman"/>
                <w:color w:val="EE0000"/>
              </w:rPr>
              <w:t>A proposal that meets all qualification and technical requirements will be considered as having passed the selection.</w:t>
            </w:r>
          </w:p>
        </w:tc>
      </w:tr>
      <w:tr w:rsidR="006A5796" w:rsidRPr="006A5796" w14:paraId="14665BE3" w14:textId="77777777" w:rsidTr="00846E88">
        <w:tc>
          <w:tcPr>
            <w:tcW w:w="0" w:type="auto"/>
            <w:hideMark/>
          </w:tcPr>
          <w:p w14:paraId="43110044" w14:textId="15619E37" w:rsidR="006A5796" w:rsidRPr="00846E88" w:rsidRDefault="006A5796" w:rsidP="006A5796">
            <w:pPr>
              <w:spacing w:before="100" w:beforeAutospacing="1" w:after="100" w:afterAutospacing="1"/>
              <w:rPr>
                <w:rFonts w:ascii="Times New Roman" w:eastAsia="Times New Roman" w:hAnsi="Times New Roman" w:cs="Times New Roman"/>
              </w:rPr>
            </w:pPr>
            <w:r w:rsidRPr="006A5796">
              <w:rPr>
                <w:rFonts w:ascii="Times New Roman" w:eastAsia="Times New Roman" w:hAnsi="Times New Roman" w:cs="Times New Roman"/>
                <w:b/>
                <w:bCs/>
              </w:rPr>
              <w:t xml:space="preserve">Evaluation Criteria: Package </w:t>
            </w:r>
            <w:r>
              <w:rPr>
                <w:rFonts w:ascii="Times New Roman" w:eastAsia="Times New Roman" w:hAnsi="Times New Roman" w:cs="Times New Roman"/>
                <w:b/>
                <w:bCs/>
              </w:rPr>
              <w:t>2</w:t>
            </w:r>
            <w:r w:rsidRPr="006A5796">
              <w:rPr>
                <w:rFonts w:ascii="Times New Roman" w:eastAsia="Times New Roman" w:hAnsi="Times New Roman" w:cs="Times New Roman"/>
                <w:b/>
                <w:bCs/>
              </w:rPr>
              <w:t>.</w:t>
            </w:r>
          </w:p>
        </w:tc>
        <w:tc>
          <w:tcPr>
            <w:tcW w:w="0" w:type="auto"/>
            <w:hideMark/>
          </w:tcPr>
          <w:p w14:paraId="7E4411A8" w14:textId="47CBE659" w:rsidR="006A5796" w:rsidRPr="006A5796" w:rsidRDefault="006A5796" w:rsidP="00846E88">
            <w:pPr>
              <w:spacing w:before="100" w:beforeAutospacing="1" w:after="100" w:afterAutospacing="1"/>
              <w:rPr>
                <w:rFonts w:ascii="Times New Roman" w:eastAsia="Times New Roman" w:hAnsi="Times New Roman" w:cs="Times New Roman"/>
                <w:color w:val="EE0000"/>
              </w:rPr>
            </w:pPr>
            <w:r w:rsidRPr="006A5796">
              <w:rPr>
                <w:rFonts w:ascii="Times New Roman" w:eastAsia="Times New Roman" w:hAnsi="Times New Roman" w:cs="Times New Roman"/>
                <w:color w:val="EE0000"/>
              </w:rPr>
              <w:t>The lowest evaluated cost considering the life cycle of the product.</w:t>
            </w:r>
          </w:p>
        </w:tc>
      </w:tr>
      <w:tr w:rsidR="006A5796" w:rsidRPr="006A5796" w14:paraId="3F723A2B" w14:textId="77777777" w:rsidTr="006A5796">
        <w:tc>
          <w:tcPr>
            <w:tcW w:w="11016" w:type="dxa"/>
            <w:gridSpan w:val="2"/>
          </w:tcPr>
          <w:p w14:paraId="2E02E0AE" w14:textId="5F843DA7" w:rsidR="006A5796" w:rsidRPr="006A5796" w:rsidRDefault="006A5796" w:rsidP="00CF7F96">
            <w:pPr>
              <w:pStyle w:val="af"/>
              <w:spacing w:before="240" w:beforeAutospacing="0" w:after="0" w:afterAutospacing="0"/>
              <w:contextualSpacing/>
              <w:jc w:val="both"/>
              <w:rPr>
                <w:sz w:val="22"/>
                <w:szCs w:val="22"/>
              </w:rPr>
            </w:pPr>
            <w:r w:rsidRPr="006A5796">
              <w:rPr>
                <w:sz w:val="22"/>
                <w:szCs w:val="22"/>
              </w:rPr>
              <w:t>The Customer reserves the right to accept or reject any or all proposals, as well as to cancel the selection process at any time prior to contract award, without incurring any obligations toward the respective participants.</w:t>
            </w:r>
          </w:p>
        </w:tc>
      </w:tr>
      <w:tr w:rsidR="006A5796" w:rsidRPr="006A5796" w14:paraId="39D868A2" w14:textId="77777777" w:rsidTr="006A5796">
        <w:tc>
          <w:tcPr>
            <w:tcW w:w="11016" w:type="dxa"/>
            <w:gridSpan w:val="2"/>
          </w:tcPr>
          <w:p w14:paraId="1C2E5DFD" w14:textId="44E85B32" w:rsidR="006A5796" w:rsidRPr="006A5796" w:rsidRDefault="006A5796" w:rsidP="00CF7F96">
            <w:pPr>
              <w:pStyle w:val="af"/>
              <w:spacing w:before="240" w:beforeAutospacing="0" w:after="0" w:afterAutospacing="0"/>
              <w:contextualSpacing/>
              <w:jc w:val="both"/>
              <w:rPr>
                <w:rFonts w:eastAsia="Calibri"/>
                <w:b/>
                <w:bCs/>
                <w:sz w:val="22"/>
                <w:szCs w:val="22"/>
              </w:rPr>
            </w:pPr>
            <w:r w:rsidRPr="006A5796">
              <w:rPr>
                <w:rFonts w:eastAsia="Calibri"/>
                <w:sz w:val="22"/>
                <w:szCs w:val="22"/>
              </w:rPr>
              <w:t>The tender proposal must be submitted on the official letterhead.</w:t>
            </w:r>
          </w:p>
        </w:tc>
      </w:tr>
      <w:tr w:rsidR="006A5796" w:rsidRPr="006A5796" w14:paraId="2705DC7F" w14:textId="77777777" w:rsidTr="006A5796">
        <w:tc>
          <w:tcPr>
            <w:tcW w:w="11016" w:type="dxa"/>
            <w:gridSpan w:val="2"/>
          </w:tcPr>
          <w:p w14:paraId="47C7513D" w14:textId="77777777" w:rsidR="006A5796" w:rsidRPr="006A5796" w:rsidRDefault="006A5796" w:rsidP="006A5796">
            <w:pPr>
              <w:pStyle w:val="af"/>
              <w:spacing w:before="240" w:after="0"/>
              <w:contextualSpacing/>
              <w:rPr>
                <w:sz w:val="22"/>
                <w:szCs w:val="22"/>
              </w:rPr>
            </w:pPr>
            <w:r w:rsidRPr="006A5796">
              <w:rPr>
                <w:sz w:val="22"/>
                <w:szCs w:val="22"/>
              </w:rPr>
              <w:t>Tender proposals submitted by the Participants after the specified deadlines will not be accepted or considered.</w:t>
            </w:r>
          </w:p>
          <w:p w14:paraId="27996A35" w14:textId="77777777" w:rsidR="006A5796" w:rsidRPr="006A5796" w:rsidRDefault="006A5796" w:rsidP="006A5796">
            <w:pPr>
              <w:pStyle w:val="af"/>
              <w:spacing w:before="240" w:after="0"/>
              <w:contextualSpacing/>
              <w:rPr>
                <w:sz w:val="22"/>
                <w:szCs w:val="22"/>
              </w:rPr>
            </w:pPr>
            <w:r w:rsidRPr="006A5796">
              <w:rPr>
                <w:sz w:val="22"/>
                <w:szCs w:val="22"/>
              </w:rPr>
              <w:t>By submitting a proposal, the Participant thereby expresses its agreement to all terms specified in the Company’s requirements.</w:t>
            </w:r>
          </w:p>
          <w:p w14:paraId="7642FCBC" w14:textId="77777777" w:rsidR="006A5796" w:rsidRPr="006A5796" w:rsidRDefault="006A5796" w:rsidP="006A5796">
            <w:pPr>
              <w:pStyle w:val="af"/>
              <w:spacing w:before="240" w:after="0"/>
              <w:contextualSpacing/>
              <w:rPr>
                <w:color w:val="FF0000"/>
                <w:sz w:val="22"/>
                <w:szCs w:val="22"/>
              </w:rPr>
            </w:pPr>
            <w:r w:rsidRPr="006A5796">
              <w:rPr>
                <w:color w:val="FF0000"/>
                <w:sz w:val="22"/>
                <w:szCs w:val="22"/>
              </w:rPr>
              <w:t>Each participant may submit only one tender proposal.</w:t>
            </w:r>
          </w:p>
          <w:p w14:paraId="68801566" w14:textId="77777777" w:rsidR="006A5796" w:rsidRPr="006A5796" w:rsidRDefault="006A5796" w:rsidP="006A5796">
            <w:pPr>
              <w:pStyle w:val="af"/>
              <w:spacing w:before="240" w:after="0"/>
              <w:contextualSpacing/>
              <w:rPr>
                <w:sz w:val="22"/>
                <w:szCs w:val="22"/>
              </w:rPr>
            </w:pPr>
            <w:r w:rsidRPr="006A5796">
              <w:rPr>
                <w:sz w:val="22"/>
                <w:szCs w:val="22"/>
              </w:rPr>
              <w:t>The validity period of the tender proposal must be at least 60 calendar days.</w:t>
            </w:r>
          </w:p>
          <w:p w14:paraId="0C2949EE" w14:textId="6D283B74" w:rsidR="006A5796" w:rsidRPr="006A5796" w:rsidRDefault="006A5796" w:rsidP="006A5796">
            <w:pPr>
              <w:pStyle w:val="af"/>
              <w:spacing w:before="240" w:beforeAutospacing="0" w:after="0" w:afterAutospacing="0"/>
              <w:contextualSpacing/>
              <w:jc w:val="both"/>
              <w:rPr>
                <w:sz w:val="22"/>
                <w:szCs w:val="22"/>
              </w:rPr>
            </w:pPr>
            <w:r w:rsidRPr="006A5796">
              <w:rPr>
                <w:sz w:val="22"/>
                <w:szCs w:val="22"/>
              </w:rPr>
              <w:t>No changes to tender proposals are permitted during the validity period of the tender proposal.</w:t>
            </w:r>
          </w:p>
        </w:tc>
      </w:tr>
      <w:tr w:rsidR="006A5796" w:rsidRPr="006A5796" w14:paraId="476758B7" w14:textId="77777777" w:rsidTr="006A5796">
        <w:tc>
          <w:tcPr>
            <w:tcW w:w="11016" w:type="dxa"/>
            <w:gridSpan w:val="2"/>
          </w:tcPr>
          <w:p w14:paraId="26E8ADFC" w14:textId="648FFFA5" w:rsidR="006A5796" w:rsidRPr="006A5796" w:rsidRDefault="006A5796" w:rsidP="00CF7F96">
            <w:pPr>
              <w:pStyle w:val="af"/>
              <w:spacing w:before="240" w:beforeAutospacing="0" w:after="0" w:afterAutospacing="0"/>
              <w:contextualSpacing/>
              <w:jc w:val="both"/>
              <w:rPr>
                <w:rFonts w:eastAsiaTheme="minorEastAsia"/>
                <w:sz w:val="22"/>
                <w:szCs w:val="22"/>
                <w:lang w:eastAsia="ru-RU"/>
              </w:rPr>
            </w:pPr>
            <w:r w:rsidRPr="006A5796">
              <w:rPr>
                <w:color w:val="EE0000"/>
                <w:sz w:val="22"/>
                <w:szCs w:val="22"/>
              </w:rPr>
              <w:t xml:space="preserve">The participant selected as the winner must, prior to signing the contract, provide a performance guarantee in the amount of 2% of the contract value, in cash, to the KGC bank account specified in </w:t>
            </w:r>
            <w:r w:rsidRPr="006A5796">
              <w:rPr>
                <w:b/>
                <w:color w:val="EE0000"/>
                <w:sz w:val="22"/>
                <w:szCs w:val="22"/>
              </w:rPr>
              <w:t>Appendix No. 2.</w:t>
            </w:r>
          </w:p>
        </w:tc>
      </w:tr>
      <w:tr w:rsidR="006A5796" w:rsidRPr="006A5796" w14:paraId="7668CAE6" w14:textId="77777777" w:rsidTr="006A5796">
        <w:tc>
          <w:tcPr>
            <w:tcW w:w="11016" w:type="dxa"/>
            <w:gridSpan w:val="2"/>
          </w:tcPr>
          <w:p w14:paraId="62C338D9" w14:textId="4E20D79E" w:rsidR="006A5796" w:rsidRPr="006A5796" w:rsidRDefault="006A5796" w:rsidP="00CF7F96">
            <w:pPr>
              <w:pStyle w:val="af"/>
              <w:spacing w:before="240" w:beforeAutospacing="0" w:after="0" w:afterAutospacing="0"/>
              <w:contextualSpacing/>
              <w:jc w:val="both"/>
              <w:rPr>
                <w:sz w:val="22"/>
                <w:szCs w:val="22"/>
              </w:rPr>
            </w:pPr>
            <w:r w:rsidRPr="006A5796">
              <w:rPr>
                <w:rFonts w:eastAsiaTheme="minorEastAsia"/>
                <w:color w:val="EE0000"/>
                <w:sz w:val="22"/>
                <w:szCs w:val="22"/>
                <w:lang w:eastAsia="ru-RU"/>
              </w:rPr>
              <w:t>In the event of an advance payment, the winning company must provide a bank guarantee for the advance payment in an amount not less than the advance payment, confirmed via the SWIFT system by the purchasing organization’s bank.</w:t>
            </w:r>
          </w:p>
        </w:tc>
      </w:tr>
      <w:tr w:rsidR="006A5796" w:rsidRPr="006A5796" w14:paraId="1180A467" w14:textId="77777777" w:rsidTr="006A5796">
        <w:tc>
          <w:tcPr>
            <w:tcW w:w="11016" w:type="dxa"/>
            <w:gridSpan w:val="2"/>
          </w:tcPr>
          <w:p w14:paraId="2D3CD33D" w14:textId="1CDD6A15" w:rsidR="006A5796" w:rsidRPr="006A5796" w:rsidRDefault="006A5796" w:rsidP="00CF7F96">
            <w:pPr>
              <w:pStyle w:val="af"/>
              <w:spacing w:before="240" w:beforeAutospacing="0" w:after="0" w:afterAutospacing="0"/>
              <w:contextualSpacing/>
              <w:jc w:val="both"/>
              <w:rPr>
                <w:sz w:val="22"/>
                <w:szCs w:val="22"/>
              </w:rPr>
            </w:pPr>
            <w:r w:rsidRPr="006A5796">
              <w:rPr>
                <w:sz w:val="22"/>
                <w:szCs w:val="22"/>
              </w:rPr>
              <w:t xml:space="preserve">All questions regarding this tender must be submitted by email to: </w:t>
            </w:r>
            <w:hyperlink r:id="rId9" w:history="1">
              <w:r w:rsidRPr="007F7B92">
                <w:rPr>
                  <w:rStyle w:val="ad"/>
                  <w:sz w:val="22"/>
                  <w:szCs w:val="22"/>
                </w:rPr>
                <w:t>Sanzhar.Beishenaliev@kumtor.kg</w:t>
              </w:r>
            </w:hyperlink>
            <w:r>
              <w:rPr>
                <w:sz w:val="22"/>
                <w:szCs w:val="22"/>
              </w:rPr>
              <w:t xml:space="preserve"> </w:t>
            </w:r>
          </w:p>
        </w:tc>
      </w:tr>
      <w:tr w:rsidR="006A5796" w:rsidRPr="006A5796" w14:paraId="3673CAC0" w14:textId="77777777" w:rsidTr="006A5796">
        <w:tc>
          <w:tcPr>
            <w:tcW w:w="11016" w:type="dxa"/>
            <w:gridSpan w:val="2"/>
          </w:tcPr>
          <w:p w14:paraId="0F2FC3B6" w14:textId="41FF1A91" w:rsidR="006A5796" w:rsidRPr="006A5796" w:rsidRDefault="006A5796" w:rsidP="00CF7F96">
            <w:pPr>
              <w:pStyle w:val="af"/>
              <w:spacing w:before="240" w:beforeAutospacing="0" w:after="0" w:afterAutospacing="0"/>
              <w:contextualSpacing/>
              <w:jc w:val="both"/>
              <w:rPr>
                <w:sz w:val="22"/>
                <w:szCs w:val="22"/>
              </w:rPr>
            </w:pPr>
            <w:r w:rsidRPr="006A5796">
              <w:rPr>
                <w:sz w:val="22"/>
                <w:szCs w:val="22"/>
              </w:rPr>
              <w:t xml:space="preserve">Requests for clarification of the selection conditions must be submitted no later than 3 calendar days prior to the final </w:t>
            </w:r>
            <w:r w:rsidRPr="006A5796">
              <w:rPr>
                <w:sz w:val="22"/>
                <w:szCs w:val="22"/>
              </w:rPr>
              <w:lastRenderedPageBreak/>
              <w:t>proposal submission deadline.</w:t>
            </w:r>
          </w:p>
        </w:tc>
      </w:tr>
    </w:tbl>
    <w:p w14:paraId="1335F2FB" w14:textId="77777777" w:rsidR="00796153" w:rsidRPr="006A5796" w:rsidRDefault="00796153" w:rsidP="00796153">
      <w:pPr>
        <w:rPr>
          <w:rFonts w:ascii="Times New Roman" w:hAnsi="Times New Roman" w:cs="Times New Roman"/>
        </w:rPr>
      </w:pPr>
    </w:p>
    <w:p w14:paraId="519371D2" w14:textId="77777777" w:rsidR="006A5796" w:rsidRPr="006A5796" w:rsidRDefault="006A5796" w:rsidP="006A5796">
      <w:pPr>
        <w:rPr>
          <w:rFonts w:ascii="Times New Roman" w:hAnsi="Times New Roman" w:cs="Times New Roman"/>
        </w:rPr>
      </w:pPr>
      <w:r w:rsidRPr="006A5796">
        <w:rPr>
          <w:rFonts w:ascii="Times New Roman" w:hAnsi="Times New Roman" w:cs="Times New Roman"/>
        </w:rPr>
        <w:t>Attachments:</w:t>
      </w:r>
    </w:p>
    <w:p w14:paraId="77B4D042" w14:textId="66CF6C23" w:rsidR="006A5796" w:rsidRPr="00DA46D1" w:rsidRDefault="006A5796" w:rsidP="00DA46D1">
      <w:pPr>
        <w:pStyle w:val="a7"/>
        <w:numPr>
          <w:ilvl w:val="0"/>
          <w:numId w:val="16"/>
        </w:numPr>
        <w:rPr>
          <w:rFonts w:ascii="Times New Roman" w:hAnsi="Times New Roman" w:cs="Times New Roman"/>
        </w:rPr>
      </w:pPr>
      <w:r w:rsidRPr="00DA46D1">
        <w:rPr>
          <w:rFonts w:ascii="Times New Roman" w:hAnsi="Times New Roman" w:cs="Times New Roman"/>
        </w:rPr>
        <w:t>Forms and information to be completed by the Supplier as part of the tender documentation (including all appendices and the technical specification).</w:t>
      </w:r>
    </w:p>
    <w:p w14:paraId="5B1D52ED" w14:textId="77777777" w:rsidR="00DA46D1" w:rsidRPr="00DA46D1" w:rsidRDefault="00DA46D1" w:rsidP="00DA46D1">
      <w:pPr>
        <w:pStyle w:val="a7"/>
        <w:rPr>
          <w:rFonts w:ascii="Times New Roman" w:hAnsi="Times New Roman" w:cs="Times New Roman"/>
        </w:rPr>
      </w:pPr>
      <w:r w:rsidRPr="00DA46D1">
        <w:rPr>
          <w:rFonts w:ascii="Times New Roman" w:hAnsi="Times New Roman" w:cs="Times New Roman"/>
        </w:rPr>
        <w:t>• Instructions for preparing a competitive bid</w:t>
      </w:r>
    </w:p>
    <w:p w14:paraId="0F03349A" w14:textId="77777777" w:rsidR="00DA46D1" w:rsidRPr="00DA46D1" w:rsidRDefault="00DA46D1" w:rsidP="00DA46D1">
      <w:pPr>
        <w:pStyle w:val="a7"/>
        <w:rPr>
          <w:rFonts w:ascii="Times New Roman" w:hAnsi="Times New Roman" w:cs="Times New Roman"/>
        </w:rPr>
      </w:pPr>
      <w:r w:rsidRPr="00DA46D1">
        <w:rPr>
          <w:rFonts w:ascii="Times New Roman" w:hAnsi="Times New Roman" w:cs="Times New Roman"/>
        </w:rPr>
        <w:t>• Competitive bid (Kyrgyz Tili, Russian, English)</w:t>
      </w:r>
    </w:p>
    <w:p w14:paraId="0905BE02" w14:textId="77777777" w:rsidR="00DA46D1" w:rsidRPr="00DA46D1" w:rsidRDefault="00DA46D1" w:rsidP="00DA46D1">
      <w:pPr>
        <w:pStyle w:val="a7"/>
        <w:rPr>
          <w:rFonts w:ascii="Times New Roman" w:hAnsi="Times New Roman" w:cs="Times New Roman"/>
        </w:rPr>
      </w:pPr>
      <w:r w:rsidRPr="00DA46D1">
        <w:rPr>
          <w:rFonts w:ascii="Times New Roman" w:hAnsi="Times New Roman" w:cs="Times New Roman"/>
        </w:rPr>
        <w:t>• Appendix No. 1_to KD_Declaration</w:t>
      </w:r>
    </w:p>
    <w:p w14:paraId="3C56FFD5" w14:textId="77777777" w:rsidR="00DA46D1" w:rsidRPr="00DA46D1" w:rsidRDefault="00DA46D1" w:rsidP="00DA46D1">
      <w:pPr>
        <w:pStyle w:val="a7"/>
        <w:rPr>
          <w:rFonts w:ascii="Times New Roman" w:hAnsi="Times New Roman" w:cs="Times New Roman"/>
        </w:rPr>
      </w:pPr>
      <w:r w:rsidRPr="00DA46D1">
        <w:rPr>
          <w:rFonts w:ascii="Times New Roman" w:hAnsi="Times New Roman" w:cs="Times New Roman"/>
        </w:rPr>
        <w:t>• Appendix No. 2_to KD_Bank details (som)</w:t>
      </w:r>
    </w:p>
    <w:p w14:paraId="70A1758D" w14:textId="77777777" w:rsidR="00DA46D1" w:rsidRPr="00DA46D1" w:rsidRDefault="00DA46D1" w:rsidP="00DA46D1">
      <w:pPr>
        <w:pStyle w:val="a7"/>
        <w:rPr>
          <w:rFonts w:ascii="Times New Roman" w:hAnsi="Times New Roman" w:cs="Times New Roman"/>
        </w:rPr>
      </w:pPr>
      <w:r w:rsidRPr="00DA46D1">
        <w:rPr>
          <w:rFonts w:ascii="Times New Roman" w:hAnsi="Times New Roman" w:cs="Times New Roman"/>
        </w:rPr>
        <w:t>• APPENDIX No. 4_KD_PRICE TABLE, SPECIFICATIONS AND DELIVERY TIMES</w:t>
      </w:r>
    </w:p>
    <w:p w14:paraId="7D27A6FE" w14:textId="77777777" w:rsidR="00DA46D1" w:rsidRPr="00DA46D1" w:rsidRDefault="00DA46D1" w:rsidP="00DA46D1">
      <w:pPr>
        <w:pStyle w:val="a7"/>
        <w:rPr>
          <w:rFonts w:ascii="Times New Roman" w:hAnsi="Times New Roman" w:cs="Times New Roman"/>
        </w:rPr>
      </w:pPr>
      <w:r w:rsidRPr="00DA46D1">
        <w:rPr>
          <w:rFonts w:ascii="Times New Roman" w:hAnsi="Times New Roman" w:cs="Times New Roman"/>
        </w:rPr>
        <w:t>• Appendix No. 5_to KD_AFFILIATION</w:t>
      </w:r>
    </w:p>
    <w:p w14:paraId="753E5961" w14:textId="77777777" w:rsidR="00DA46D1" w:rsidRPr="00DA46D1" w:rsidRDefault="00DA46D1" w:rsidP="00DA46D1">
      <w:pPr>
        <w:pStyle w:val="a7"/>
        <w:rPr>
          <w:rFonts w:ascii="Times New Roman" w:hAnsi="Times New Roman" w:cs="Times New Roman"/>
        </w:rPr>
      </w:pPr>
      <w:r w:rsidRPr="00DA46D1">
        <w:rPr>
          <w:rFonts w:ascii="Times New Roman" w:hAnsi="Times New Roman" w:cs="Times New Roman"/>
        </w:rPr>
        <w:t>• Appendix No. 6_to KD_QUALIFICATION INFORMATION</w:t>
      </w:r>
    </w:p>
    <w:p w14:paraId="73F7C8DC" w14:textId="77777777" w:rsidR="00DA46D1" w:rsidRPr="00DA46D1" w:rsidRDefault="00DA46D1" w:rsidP="00DA46D1">
      <w:pPr>
        <w:pStyle w:val="a7"/>
        <w:rPr>
          <w:rFonts w:ascii="Times New Roman" w:hAnsi="Times New Roman" w:cs="Times New Roman"/>
        </w:rPr>
      </w:pPr>
      <w:r w:rsidRPr="00DA46D1">
        <w:rPr>
          <w:rFonts w:ascii="Times New Roman" w:hAnsi="Times New Roman" w:cs="Times New Roman"/>
        </w:rPr>
        <w:t>• Appendix No. 7_to KD_ANTICORROSIVE CLAUSE</w:t>
      </w:r>
    </w:p>
    <w:p w14:paraId="03E18C0C" w14:textId="77777777" w:rsidR="00DA46D1" w:rsidRPr="00DA46D1" w:rsidRDefault="00DA46D1" w:rsidP="00DA46D1">
      <w:pPr>
        <w:pStyle w:val="a7"/>
        <w:rPr>
          <w:rFonts w:ascii="Times New Roman" w:hAnsi="Times New Roman" w:cs="Times New Roman"/>
        </w:rPr>
      </w:pPr>
      <w:r w:rsidRPr="00DA46D1">
        <w:rPr>
          <w:rFonts w:ascii="Times New Roman" w:hAnsi="Times New Roman" w:cs="Times New Roman"/>
        </w:rPr>
        <w:t>• Appendix No. 8_Invitation_Agreement_Template_bilingual (003) (ru-en)</w:t>
      </w:r>
    </w:p>
    <w:p w14:paraId="7EC66007" w14:textId="77777777" w:rsidR="00DA46D1" w:rsidRPr="00DA46D1" w:rsidRDefault="00DA46D1" w:rsidP="00DA46D1">
      <w:pPr>
        <w:pStyle w:val="a7"/>
        <w:rPr>
          <w:rFonts w:ascii="Times New Roman" w:hAnsi="Times New Roman" w:cs="Times New Roman"/>
        </w:rPr>
      </w:pPr>
      <w:r w:rsidRPr="00DA46D1">
        <w:rPr>
          <w:rFonts w:ascii="Times New Roman" w:hAnsi="Times New Roman" w:cs="Times New Roman"/>
        </w:rPr>
        <w:t>• Settlement accounts in foreign currency</w:t>
      </w:r>
    </w:p>
    <w:p w14:paraId="1B5EEB2D" w14:textId="77777777" w:rsidR="00DA46D1" w:rsidRPr="00DA46D1" w:rsidRDefault="00DA46D1" w:rsidP="00DA46D1">
      <w:pPr>
        <w:pStyle w:val="a7"/>
        <w:rPr>
          <w:rFonts w:ascii="Times New Roman" w:hAnsi="Times New Roman" w:cs="Times New Roman"/>
        </w:rPr>
      </w:pPr>
      <w:r w:rsidRPr="00DA46D1">
        <w:rPr>
          <w:rFonts w:ascii="Times New Roman" w:hAnsi="Times New Roman" w:cs="Times New Roman"/>
        </w:rPr>
        <w:t>• Payment details in rubles - Social Bank</w:t>
      </w:r>
    </w:p>
    <w:p w14:paraId="2370CFED" w14:textId="77777777" w:rsidR="00DA46D1" w:rsidRPr="00DA46D1" w:rsidRDefault="00DA46D1" w:rsidP="00DA46D1">
      <w:pPr>
        <w:pStyle w:val="a7"/>
        <w:rPr>
          <w:rFonts w:ascii="Times New Roman" w:hAnsi="Times New Roman" w:cs="Times New Roman"/>
        </w:rPr>
      </w:pPr>
      <w:r w:rsidRPr="00DA46D1">
        <w:rPr>
          <w:rFonts w:ascii="Times New Roman" w:hAnsi="Times New Roman" w:cs="Times New Roman"/>
        </w:rPr>
        <w:t>• Technical Specifications for a 3-ton BPB forklift</w:t>
      </w:r>
    </w:p>
    <w:p w14:paraId="39E581E0" w14:textId="77777777" w:rsidR="00DA46D1" w:rsidRPr="00DA46D1" w:rsidRDefault="00DA46D1" w:rsidP="00DA46D1">
      <w:pPr>
        <w:pStyle w:val="a7"/>
        <w:rPr>
          <w:rFonts w:ascii="Times New Roman" w:hAnsi="Times New Roman" w:cs="Times New Roman"/>
        </w:rPr>
      </w:pPr>
      <w:r w:rsidRPr="00DA46D1">
        <w:rPr>
          <w:rFonts w:ascii="Times New Roman" w:hAnsi="Times New Roman" w:cs="Times New Roman"/>
        </w:rPr>
        <w:t>• Technical Specifications for a 5-ton forklift for the maintenance department</w:t>
      </w:r>
    </w:p>
    <w:p w14:paraId="34B452DB" w14:textId="77777777" w:rsidR="00DA46D1" w:rsidRPr="00DA46D1" w:rsidRDefault="00DA46D1" w:rsidP="00DA46D1">
      <w:pPr>
        <w:pStyle w:val="a7"/>
        <w:rPr>
          <w:rFonts w:ascii="Times New Roman" w:hAnsi="Times New Roman" w:cs="Times New Roman"/>
        </w:rPr>
      </w:pPr>
      <w:r w:rsidRPr="00DA46D1">
        <w:rPr>
          <w:rFonts w:ascii="Times New Roman" w:hAnsi="Times New Roman" w:cs="Times New Roman"/>
        </w:rPr>
        <w:t>• Technical Specifications for a 15-ton forklift</w:t>
      </w:r>
    </w:p>
    <w:p w14:paraId="04DB654B" w14:textId="77777777" w:rsidR="00DA46D1" w:rsidRPr="00DA46D1" w:rsidRDefault="00DA46D1" w:rsidP="00DA46D1">
      <w:pPr>
        <w:pStyle w:val="a7"/>
        <w:rPr>
          <w:rFonts w:ascii="Times New Roman" w:hAnsi="Times New Roman" w:cs="Times New Roman"/>
        </w:rPr>
      </w:pPr>
      <w:r w:rsidRPr="00DA46D1">
        <w:rPr>
          <w:rFonts w:ascii="Times New Roman" w:hAnsi="Times New Roman" w:cs="Times New Roman"/>
        </w:rPr>
        <w:t>• Technical Specifications for the purchase of a forklift for transporting IBC Eurobarrels</w:t>
      </w:r>
    </w:p>
    <w:p w14:paraId="68CEF665" w14:textId="6FC99787" w:rsidR="00DA46D1" w:rsidRPr="00DA46D1" w:rsidRDefault="00DA46D1" w:rsidP="00DA46D1">
      <w:pPr>
        <w:pStyle w:val="a7"/>
        <w:rPr>
          <w:rFonts w:ascii="Times New Roman" w:hAnsi="Times New Roman" w:cs="Times New Roman"/>
        </w:rPr>
      </w:pPr>
      <w:r w:rsidRPr="00DA46D1">
        <w:rPr>
          <w:rFonts w:ascii="Times New Roman" w:hAnsi="Times New Roman" w:cs="Times New Roman"/>
        </w:rPr>
        <w:t>• Technical Specifications for the purchase of a telescopic handler complete with attachments for the needs of Underground Mining.</w:t>
      </w:r>
    </w:p>
    <w:p w14:paraId="0568F3BB" w14:textId="77777777" w:rsidR="0030742C" w:rsidRPr="00DA46D1" w:rsidRDefault="0030742C" w:rsidP="00905405">
      <w:pPr>
        <w:pStyle w:val="tkTekst"/>
        <w:tabs>
          <w:tab w:val="left" w:pos="709"/>
          <w:tab w:val="left" w:pos="993"/>
        </w:tabs>
        <w:rPr>
          <w:rFonts w:ascii="Times New Roman" w:hAnsi="Times New Roman" w:cs="Times New Roman"/>
          <w:sz w:val="24"/>
          <w:szCs w:val="24"/>
          <w:lang w:val="en-US" w:eastAsia="en-US"/>
        </w:rPr>
      </w:pPr>
    </w:p>
    <w:p w14:paraId="0E7BB32E" w14:textId="77777777" w:rsidR="0030742C" w:rsidRPr="006A5796" w:rsidRDefault="0030742C" w:rsidP="00905405">
      <w:pPr>
        <w:pStyle w:val="tkTekst"/>
        <w:tabs>
          <w:tab w:val="left" w:pos="709"/>
          <w:tab w:val="left" w:pos="993"/>
        </w:tabs>
        <w:rPr>
          <w:rFonts w:ascii="Times New Roman" w:hAnsi="Times New Roman" w:cs="Times New Roman"/>
          <w:sz w:val="24"/>
          <w:szCs w:val="24"/>
          <w:lang w:val="en-US" w:eastAsia="en-US"/>
        </w:rPr>
      </w:pPr>
    </w:p>
    <w:p w14:paraId="1839CF6C" w14:textId="49A975BE" w:rsidR="0030742C" w:rsidRPr="006A5796" w:rsidRDefault="0030742C" w:rsidP="00905405">
      <w:pPr>
        <w:pStyle w:val="tkTekst"/>
        <w:tabs>
          <w:tab w:val="left" w:pos="709"/>
          <w:tab w:val="left" w:pos="993"/>
        </w:tabs>
        <w:rPr>
          <w:rFonts w:ascii="Times New Roman" w:hAnsi="Times New Roman" w:cs="Times New Roman"/>
          <w:sz w:val="24"/>
          <w:szCs w:val="24"/>
          <w:lang w:val="en-US" w:eastAsia="en-US"/>
        </w:rPr>
      </w:pPr>
    </w:p>
    <w:p w14:paraId="669048F0" w14:textId="77777777" w:rsidR="0030742C" w:rsidRPr="006A5796" w:rsidRDefault="0030742C" w:rsidP="00905405">
      <w:pPr>
        <w:pStyle w:val="tkTekst"/>
        <w:tabs>
          <w:tab w:val="left" w:pos="709"/>
          <w:tab w:val="left" w:pos="993"/>
        </w:tabs>
        <w:rPr>
          <w:rFonts w:ascii="Times New Roman" w:hAnsi="Times New Roman" w:cs="Times New Roman"/>
          <w:sz w:val="24"/>
          <w:szCs w:val="24"/>
          <w:lang w:val="en-US" w:eastAsia="en-US"/>
        </w:rPr>
      </w:pPr>
    </w:p>
    <w:p w14:paraId="00A4C32F" w14:textId="77777777" w:rsidR="0030742C" w:rsidRPr="006A5796" w:rsidRDefault="0030742C" w:rsidP="00905405">
      <w:pPr>
        <w:pStyle w:val="tkTekst"/>
        <w:tabs>
          <w:tab w:val="left" w:pos="709"/>
          <w:tab w:val="left" w:pos="993"/>
        </w:tabs>
        <w:rPr>
          <w:rFonts w:ascii="Times New Roman" w:hAnsi="Times New Roman" w:cs="Times New Roman"/>
          <w:sz w:val="24"/>
          <w:szCs w:val="24"/>
          <w:lang w:val="en-US" w:eastAsia="en-US"/>
        </w:rPr>
      </w:pPr>
    </w:p>
    <w:p w14:paraId="7F9DA01F" w14:textId="77777777" w:rsidR="005D111B" w:rsidRPr="006A5796" w:rsidRDefault="005D111B" w:rsidP="00905405">
      <w:pPr>
        <w:pStyle w:val="tkTekst"/>
        <w:tabs>
          <w:tab w:val="left" w:pos="709"/>
          <w:tab w:val="left" w:pos="993"/>
        </w:tabs>
        <w:rPr>
          <w:rFonts w:ascii="Times New Roman" w:hAnsi="Times New Roman" w:cs="Times New Roman"/>
          <w:sz w:val="24"/>
          <w:szCs w:val="24"/>
          <w:lang w:val="en-US" w:eastAsia="en-US"/>
        </w:rPr>
      </w:pPr>
    </w:p>
    <w:p w14:paraId="7E5315B8" w14:textId="77777777" w:rsidR="005D111B" w:rsidRPr="006A5796" w:rsidRDefault="005D111B" w:rsidP="00905405">
      <w:pPr>
        <w:pStyle w:val="tkTekst"/>
        <w:tabs>
          <w:tab w:val="left" w:pos="709"/>
          <w:tab w:val="left" w:pos="993"/>
        </w:tabs>
        <w:rPr>
          <w:rFonts w:ascii="Times New Roman" w:hAnsi="Times New Roman" w:cs="Times New Roman"/>
          <w:sz w:val="24"/>
          <w:szCs w:val="24"/>
          <w:lang w:val="en-US" w:eastAsia="en-US"/>
        </w:rPr>
      </w:pPr>
    </w:p>
    <w:p w14:paraId="2EA56A2E" w14:textId="77777777" w:rsidR="005D111B" w:rsidRPr="006A5796" w:rsidRDefault="005D111B" w:rsidP="00905405">
      <w:pPr>
        <w:pStyle w:val="tkTekst"/>
        <w:tabs>
          <w:tab w:val="left" w:pos="709"/>
          <w:tab w:val="left" w:pos="993"/>
        </w:tabs>
        <w:rPr>
          <w:rFonts w:ascii="Times New Roman" w:hAnsi="Times New Roman" w:cs="Times New Roman"/>
          <w:sz w:val="24"/>
          <w:szCs w:val="24"/>
          <w:lang w:val="en-US" w:eastAsia="en-US"/>
        </w:rPr>
      </w:pPr>
    </w:p>
    <w:p w14:paraId="333CE310" w14:textId="77777777" w:rsidR="005D111B" w:rsidRPr="006A5796" w:rsidRDefault="005D111B" w:rsidP="00905405">
      <w:pPr>
        <w:pStyle w:val="tkTekst"/>
        <w:tabs>
          <w:tab w:val="left" w:pos="709"/>
          <w:tab w:val="left" w:pos="993"/>
        </w:tabs>
        <w:rPr>
          <w:rFonts w:ascii="Times New Roman" w:hAnsi="Times New Roman" w:cs="Times New Roman"/>
          <w:sz w:val="24"/>
          <w:szCs w:val="24"/>
          <w:lang w:val="en-US" w:eastAsia="en-US"/>
        </w:rPr>
      </w:pPr>
    </w:p>
    <w:p w14:paraId="448102AF" w14:textId="1BA66580" w:rsidR="00141615" w:rsidRPr="006A5796" w:rsidRDefault="00141615" w:rsidP="00B42DEB">
      <w:pPr>
        <w:pStyle w:val="tkTekst"/>
        <w:tabs>
          <w:tab w:val="left" w:pos="709"/>
          <w:tab w:val="left" w:pos="993"/>
        </w:tabs>
        <w:ind w:firstLine="0"/>
        <w:rPr>
          <w:rFonts w:ascii="Times New Roman" w:hAnsi="Times New Roman" w:cs="Times New Roman"/>
          <w:sz w:val="24"/>
          <w:szCs w:val="24"/>
          <w:lang w:val="en-US" w:eastAsia="en-US"/>
        </w:rPr>
      </w:pPr>
    </w:p>
    <w:p w14:paraId="4C71DB55" w14:textId="77777777" w:rsidR="00141615" w:rsidRPr="006A5796" w:rsidRDefault="00141615" w:rsidP="00905405">
      <w:pPr>
        <w:pStyle w:val="tkTekst"/>
        <w:tabs>
          <w:tab w:val="left" w:pos="709"/>
          <w:tab w:val="left" w:pos="993"/>
        </w:tabs>
        <w:rPr>
          <w:rFonts w:ascii="Times New Roman" w:hAnsi="Times New Roman" w:cs="Times New Roman"/>
          <w:sz w:val="24"/>
          <w:szCs w:val="24"/>
          <w:lang w:val="en-US" w:eastAsia="en-US"/>
        </w:rPr>
      </w:pPr>
    </w:p>
    <w:p w14:paraId="39BD4AA7" w14:textId="77777777" w:rsidR="00141615" w:rsidRPr="006A5796" w:rsidRDefault="00141615" w:rsidP="00905405">
      <w:pPr>
        <w:pStyle w:val="tkTekst"/>
        <w:tabs>
          <w:tab w:val="left" w:pos="709"/>
          <w:tab w:val="left" w:pos="993"/>
        </w:tabs>
        <w:rPr>
          <w:rFonts w:ascii="Times New Roman" w:hAnsi="Times New Roman" w:cs="Times New Roman"/>
          <w:sz w:val="24"/>
          <w:szCs w:val="24"/>
          <w:lang w:val="en-US" w:eastAsia="en-US"/>
        </w:rPr>
      </w:pPr>
    </w:p>
    <w:sectPr w:rsidR="00141615" w:rsidRPr="006A5796" w:rsidSect="00AE4A47">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6665C" w14:textId="77777777" w:rsidR="008D7647" w:rsidRDefault="008D7647" w:rsidP="004F765E">
      <w:pPr>
        <w:spacing w:after="0" w:line="240" w:lineRule="auto"/>
      </w:pPr>
      <w:r>
        <w:separator/>
      </w:r>
    </w:p>
  </w:endnote>
  <w:endnote w:type="continuationSeparator" w:id="0">
    <w:p w14:paraId="3916E7B8" w14:textId="77777777" w:rsidR="008D7647" w:rsidRDefault="008D7647" w:rsidP="004F7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1154419"/>
      <w:docPartObj>
        <w:docPartGallery w:val="Page Numbers (Bottom of Page)"/>
        <w:docPartUnique/>
      </w:docPartObj>
    </w:sdtPr>
    <w:sdtEndPr>
      <w:rPr>
        <w:noProof/>
      </w:rPr>
    </w:sdtEndPr>
    <w:sdtContent>
      <w:p w14:paraId="700FE5A9" w14:textId="175EC345" w:rsidR="004F765E" w:rsidRDefault="004F765E">
        <w:pPr>
          <w:pStyle w:val="af3"/>
          <w:jc w:val="right"/>
        </w:pPr>
        <w:r>
          <w:fldChar w:fldCharType="begin"/>
        </w:r>
        <w:r>
          <w:instrText xml:space="preserve"> PAGE   \* MERGEFORMAT </w:instrText>
        </w:r>
        <w:r>
          <w:fldChar w:fldCharType="separate"/>
        </w:r>
        <w:r w:rsidR="006A5796">
          <w:rPr>
            <w:noProof/>
          </w:rPr>
          <w:t>1</w:t>
        </w:r>
        <w:r>
          <w:rPr>
            <w:noProof/>
          </w:rPr>
          <w:fldChar w:fldCharType="end"/>
        </w:r>
      </w:p>
    </w:sdtContent>
  </w:sdt>
  <w:p w14:paraId="13CBAB12" w14:textId="77777777" w:rsidR="004F765E" w:rsidRDefault="004F765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0C3C5" w14:textId="77777777" w:rsidR="008D7647" w:rsidRDefault="008D7647" w:rsidP="004F765E">
      <w:pPr>
        <w:spacing w:after="0" w:line="240" w:lineRule="auto"/>
      </w:pPr>
      <w:r>
        <w:separator/>
      </w:r>
    </w:p>
  </w:footnote>
  <w:footnote w:type="continuationSeparator" w:id="0">
    <w:p w14:paraId="628048D0" w14:textId="77777777" w:rsidR="008D7647" w:rsidRDefault="008D7647" w:rsidP="004F76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E5824"/>
    <w:multiLevelType w:val="multilevel"/>
    <w:tmpl w:val="2D00A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82974"/>
    <w:multiLevelType w:val="hybridMultilevel"/>
    <w:tmpl w:val="15E084C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0F6729"/>
    <w:multiLevelType w:val="hybridMultilevel"/>
    <w:tmpl w:val="B0320AE4"/>
    <w:lvl w:ilvl="0" w:tplc="0409001B">
      <w:start w:val="1"/>
      <w:numFmt w:val="lowerRoman"/>
      <w:lvlText w:val="%1."/>
      <w:lvlJc w:val="right"/>
      <w:pPr>
        <w:ind w:left="722" w:hanging="360"/>
      </w:pPr>
      <w:rPr>
        <w:rFonts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3" w15:restartNumberingAfterBreak="0">
    <w:nsid w:val="1D7E18A0"/>
    <w:multiLevelType w:val="multilevel"/>
    <w:tmpl w:val="1CD478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C60816"/>
    <w:multiLevelType w:val="multilevel"/>
    <w:tmpl w:val="DD6E4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E165F4"/>
    <w:multiLevelType w:val="multilevel"/>
    <w:tmpl w:val="13367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985742"/>
    <w:multiLevelType w:val="multilevel"/>
    <w:tmpl w:val="9EC21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30E664F"/>
    <w:multiLevelType w:val="hybridMultilevel"/>
    <w:tmpl w:val="C2CEEE28"/>
    <w:lvl w:ilvl="0" w:tplc="F870A3C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A41658"/>
    <w:multiLevelType w:val="hybridMultilevel"/>
    <w:tmpl w:val="60368148"/>
    <w:lvl w:ilvl="0" w:tplc="04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B3D23EC"/>
    <w:multiLevelType w:val="multilevel"/>
    <w:tmpl w:val="8C46D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E4610C9"/>
    <w:multiLevelType w:val="hybridMultilevel"/>
    <w:tmpl w:val="205CE456"/>
    <w:lvl w:ilvl="0" w:tplc="5F20AA0C">
      <w:start w:val="1"/>
      <w:numFmt w:val="decimal"/>
      <w:lvlText w:val="%1."/>
      <w:lvlJc w:val="left"/>
      <w:pPr>
        <w:ind w:left="5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16A5CC8">
      <w:start w:val="1"/>
      <w:numFmt w:val="lowerLetter"/>
      <w:lvlText w:val="%2"/>
      <w:lvlJc w:val="left"/>
      <w:pPr>
        <w:ind w:left="12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3F23842">
      <w:start w:val="1"/>
      <w:numFmt w:val="lowerRoman"/>
      <w:lvlText w:val="%3"/>
      <w:lvlJc w:val="left"/>
      <w:pPr>
        <w:ind w:left="19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2BC6F86">
      <w:start w:val="1"/>
      <w:numFmt w:val="decimal"/>
      <w:lvlText w:val="%4"/>
      <w:lvlJc w:val="left"/>
      <w:pPr>
        <w:ind w:left="27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7A47D98">
      <w:start w:val="1"/>
      <w:numFmt w:val="lowerLetter"/>
      <w:lvlText w:val="%5"/>
      <w:lvlJc w:val="left"/>
      <w:pPr>
        <w:ind w:left="34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5DEEA8A">
      <w:start w:val="1"/>
      <w:numFmt w:val="lowerRoman"/>
      <w:lvlText w:val="%6"/>
      <w:lvlJc w:val="left"/>
      <w:pPr>
        <w:ind w:left="4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4280D32">
      <w:start w:val="1"/>
      <w:numFmt w:val="decimal"/>
      <w:lvlText w:val="%7"/>
      <w:lvlJc w:val="left"/>
      <w:pPr>
        <w:ind w:left="4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37A2632">
      <w:start w:val="1"/>
      <w:numFmt w:val="lowerLetter"/>
      <w:lvlText w:val="%8"/>
      <w:lvlJc w:val="left"/>
      <w:pPr>
        <w:ind w:left="5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6EECA62">
      <w:start w:val="1"/>
      <w:numFmt w:val="lowerRoman"/>
      <w:lvlText w:val="%9"/>
      <w:lvlJc w:val="left"/>
      <w:pPr>
        <w:ind w:left="6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53D12EFB"/>
    <w:multiLevelType w:val="hybridMultilevel"/>
    <w:tmpl w:val="306029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70858CF"/>
    <w:multiLevelType w:val="multilevel"/>
    <w:tmpl w:val="79C85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8ED7A1D"/>
    <w:multiLevelType w:val="multilevel"/>
    <w:tmpl w:val="1D56E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93B2E68"/>
    <w:multiLevelType w:val="hybridMultilevel"/>
    <w:tmpl w:val="A2425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EF33CB"/>
    <w:multiLevelType w:val="multilevel"/>
    <w:tmpl w:val="5212C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07201368">
    <w:abstractNumId w:val="12"/>
  </w:num>
  <w:num w:numId="2" w16cid:durableId="585117479">
    <w:abstractNumId w:val="0"/>
  </w:num>
  <w:num w:numId="3" w16cid:durableId="1112672684">
    <w:abstractNumId w:val="15"/>
  </w:num>
  <w:num w:numId="4" w16cid:durableId="89738570">
    <w:abstractNumId w:val="4"/>
  </w:num>
  <w:num w:numId="5" w16cid:durableId="117799181">
    <w:abstractNumId w:val="6"/>
  </w:num>
  <w:num w:numId="6" w16cid:durableId="242881455">
    <w:abstractNumId w:val="3"/>
  </w:num>
  <w:num w:numId="7" w16cid:durableId="1643265854">
    <w:abstractNumId w:val="9"/>
  </w:num>
  <w:num w:numId="8" w16cid:durableId="1181120728">
    <w:abstractNumId w:val="13"/>
  </w:num>
  <w:num w:numId="9" w16cid:durableId="1267814388">
    <w:abstractNumId w:val="8"/>
  </w:num>
  <w:num w:numId="10" w16cid:durableId="149179994">
    <w:abstractNumId w:val="10"/>
  </w:num>
  <w:num w:numId="11" w16cid:durableId="678847724">
    <w:abstractNumId w:val="2"/>
  </w:num>
  <w:num w:numId="12" w16cid:durableId="487987247">
    <w:abstractNumId w:val="1"/>
  </w:num>
  <w:num w:numId="13" w16cid:durableId="236015552">
    <w:abstractNumId w:val="5"/>
  </w:num>
  <w:num w:numId="14" w16cid:durableId="1038628512">
    <w:abstractNumId w:val="11"/>
  </w:num>
  <w:num w:numId="15" w16cid:durableId="783764520">
    <w:abstractNumId w:val="7"/>
  </w:num>
  <w:num w:numId="16" w16cid:durableId="181852299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1EA2"/>
    <w:rsid w:val="000036C0"/>
    <w:rsid w:val="000339B9"/>
    <w:rsid w:val="00062DA0"/>
    <w:rsid w:val="00081E9C"/>
    <w:rsid w:val="000B3B54"/>
    <w:rsid w:val="000C1717"/>
    <w:rsid w:val="000C6491"/>
    <w:rsid w:val="000E04AA"/>
    <w:rsid w:val="000E3DE8"/>
    <w:rsid w:val="000E60CF"/>
    <w:rsid w:val="000E6ADB"/>
    <w:rsid w:val="000F46E2"/>
    <w:rsid w:val="000F528B"/>
    <w:rsid w:val="00125421"/>
    <w:rsid w:val="0012667A"/>
    <w:rsid w:val="00141615"/>
    <w:rsid w:val="0014551B"/>
    <w:rsid w:val="001457F5"/>
    <w:rsid w:val="00147096"/>
    <w:rsid w:val="00154DA6"/>
    <w:rsid w:val="00160253"/>
    <w:rsid w:val="00161C5E"/>
    <w:rsid w:val="00166B1E"/>
    <w:rsid w:val="0017532C"/>
    <w:rsid w:val="001D1EA2"/>
    <w:rsid w:val="001E03FF"/>
    <w:rsid w:val="001E6601"/>
    <w:rsid w:val="001F0315"/>
    <w:rsid w:val="0023246D"/>
    <w:rsid w:val="0023361F"/>
    <w:rsid w:val="00241604"/>
    <w:rsid w:val="002501FC"/>
    <w:rsid w:val="0025345B"/>
    <w:rsid w:val="002A50BB"/>
    <w:rsid w:val="002D6A6E"/>
    <w:rsid w:val="002E48E5"/>
    <w:rsid w:val="002E4FB7"/>
    <w:rsid w:val="002E68E1"/>
    <w:rsid w:val="002F5C35"/>
    <w:rsid w:val="00303407"/>
    <w:rsid w:val="0030742C"/>
    <w:rsid w:val="0033233F"/>
    <w:rsid w:val="00352663"/>
    <w:rsid w:val="00356890"/>
    <w:rsid w:val="00363378"/>
    <w:rsid w:val="00396090"/>
    <w:rsid w:val="0039726A"/>
    <w:rsid w:val="003A1FF1"/>
    <w:rsid w:val="003A4033"/>
    <w:rsid w:val="003C45C4"/>
    <w:rsid w:val="003F7DC7"/>
    <w:rsid w:val="0041792A"/>
    <w:rsid w:val="004227B0"/>
    <w:rsid w:val="004364C2"/>
    <w:rsid w:val="00437E0F"/>
    <w:rsid w:val="00453EEA"/>
    <w:rsid w:val="00456213"/>
    <w:rsid w:val="00456540"/>
    <w:rsid w:val="00456671"/>
    <w:rsid w:val="00461A68"/>
    <w:rsid w:val="00482AC4"/>
    <w:rsid w:val="00491A9B"/>
    <w:rsid w:val="00492A52"/>
    <w:rsid w:val="004B4F8E"/>
    <w:rsid w:val="004F765E"/>
    <w:rsid w:val="00503BF9"/>
    <w:rsid w:val="00507716"/>
    <w:rsid w:val="00522B7F"/>
    <w:rsid w:val="00522D1B"/>
    <w:rsid w:val="005323E7"/>
    <w:rsid w:val="005A20E4"/>
    <w:rsid w:val="005A557F"/>
    <w:rsid w:val="005C60CC"/>
    <w:rsid w:val="005C6E41"/>
    <w:rsid w:val="005C7296"/>
    <w:rsid w:val="005D111B"/>
    <w:rsid w:val="005E50A4"/>
    <w:rsid w:val="005E653C"/>
    <w:rsid w:val="00600781"/>
    <w:rsid w:val="00612C4A"/>
    <w:rsid w:val="006202CA"/>
    <w:rsid w:val="00631296"/>
    <w:rsid w:val="00677957"/>
    <w:rsid w:val="00685B02"/>
    <w:rsid w:val="006A5796"/>
    <w:rsid w:val="006F62AC"/>
    <w:rsid w:val="00741EF0"/>
    <w:rsid w:val="00781167"/>
    <w:rsid w:val="007823A8"/>
    <w:rsid w:val="00786A58"/>
    <w:rsid w:val="00787006"/>
    <w:rsid w:val="00796153"/>
    <w:rsid w:val="007A5B4E"/>
    <w:rsid w:val="007C6FB8"/>
    <w:rsid w:val="007D14F6"/>
    <w:rsid w:val="007D17C6"/>
    <w:rsid w:val="007E118C"/>
    <w:rsid w:val="007F3EBC"/>
    <w:rsid w:val="00803C66"/>
    <w:rsid w:val="00804E1E"/>
    <w:rsid w:val="00834EEA"/>
    <w:rsid w:val="00837A6D"/>
    <w:rsid w:val="00842E65"/>
    <w:rsid w:val="00846E88"/>
    <w:rsid w:val="0085036A"/>
    <w:rsid w:val="00854CDB"/>
    <w:rsid w:val="00860520"/>
    <w:rsid w:val="00891F3B"/>
    <w:rsid w:val="00896458"/>
    <w:rsid w:val="008B3825"/>
    <w:rsid w:val="008C0663"/>
    <w:rsid w:val="008C14CE"/>
    <w:rsid w:val="008C1788"/>
    <w:rsid w:val="008C33E8"/>
    <w:rsid w:val="008D0876"/>
    <w:rsid w:val="008D1F9B"/>
    <w:rsid w:val="008D5B6A"/>
    <w:rsid w:val="008D7647"/>
    <w:rsid w:val="00905405"/>
    <w:rsid w:val="00912D93"/>
    <w:rsid w:val="009150A9"/>
    <w:rsid w:val="00927DCD"/>
    <w:rsid w:val="009340CF"/>
    <w:rsid w:val="009460F4"/>
    <w:rsid w:val="0096325C"/>
    <w:rsid w:val="00965B45"/>
    <w:rsid w:val="0098132E"/>
    <w:rsid w:val="00986AF3"/>
    <w:rsid w:val="00990BFC"/>
    <w:rsid w:val="009943B5"/>
    <w:rsid w:val="009A7BF4"/>
    <w:rsid w:val="009B078E"/>
    <w:rsid w:val="009C0DCD"/>
    <w:rsid w:val="009D3C13"/>
    <w:rsid w:val="00A05459"/>
    <w:rsid w:val="00A05E7A"/>
    <w:rsid w:val="00A1390D"/>
    <w:rsid w:val="00A3546C"/>
    <w:rsid w:val="00A50FEF"/>
    <w:rsid w:val="00A5195D"/>
    <w:rsid w:val="00A53C13"/>
    <w:rsid w:val="00A5741F"/>
    <w:rsid w:val="00A57AD3"/>
    <w:rsid w:val="00A64F7B"/>
    <w:rsid w:val="00A6743F"/>
    <w:rsid w:val="00A82C27"/>
    <w:rsid w:val="00A90B8F"/>
    <w:rsid w:val="00A94766"/>
    <w:rsid w:val="00AE4A47"/>
    <w:rsid w:val="00B024E6"/>
    <w:rsid w:val="00B253CD"/>
    <w:rsid w:val="00B359C9"/>
    <w:rsid w:val="00B3740F"/>
    <w:rsid w:val="00B4052C"/>
    <w:rsid w:val="00B425E8"/>
    <w:rsid w:val="00B42DEB"/>
    <w:rsid w:val="00B5409D"/>
    <w:rsid w:val="00B73A16"/>
    <w:rsid w:val="00B93AD0"/>
    <w:rsid w:val="00BA488E"/>
    <w:rsid w:val="00BB7947"/>
    <w:rsid w:val="00BE174A"/>
    <w:rsid w:val="00BE1B0A"/>
    <w:rsid w:val="00BF067B"/>
    <w:rsid w:val="00C2364D"/>
    <w:rsid w:val="00C237DA"/>
    <w:rsid w:val="00C24AD9"/>
    <w:rsid w:val="00C309C2"/>
    <w:rsid w:val="00C32C22"/>
    <w:rsid w:val="00C41C99"/>
    <w:rsid w:val="00C46265"/>
    <w:rsid w:val="00CA7EA3"/>
    <w:rsid w:val="00CB74C7"/>
    <w:rsid w:val="00CD2EC2"/>
    <w:rsid w:val="00CF2777"/>
    <w:rsid w:val="00D11018"/>
    <w:rsid w:val="00D15FD3"/>
    <w:rsid w:val="00D22A31"/>
    <w:rsid w:val="00D2394C"/>
    <w:rsid w:val="00D2484A"/>
    <w:rsid w:val="00D537B6"/>
    <w:rsid w:val="00D62A99"/>
    <w:rsid w:val="00D76F61"/>
    <w:rsid w:val="00D87441"/>
    <w:rsid w:val="00DA46D1"/>
    <w:rsid w:val="00DE6522"/>
    <w:rsid w:val="00E225A1"/>
    <w:rsid w:val="00E4249F"/>
    <w:rsid w:val="00E4384D"/>
    <w:rsid w:val="00E471CA"/>
    <w:rsid w:val="00E639CC"/>
    <w:rsid w:val="00E84BA6"/>
    <w:rsid w:val="00EA1654"/>
    <w:rsid w:val="00EC316A"/>
    <w:rsid w:val="00EC3FB4"/>
    <w:rsid w:val="00ED3A3C"/>
    <w:rsid w:val="00EF697E"/>
    <w:rsid w:val="00F0200F"/>
    <w:rsid w:val="00F06DEF"/>
    <w:rsid w:val="00F134A3"/>
    <w:rsid w:val="00F2144F"/>
    <w:rsid w:val="00F51BC1"/>
    <w:rsid w:val="00F65090"/>
    <w:rsid w:val="00F84D78"/>
    <w:rsid w:val="00FA1034"/>
    <w:rsid w:val="00FA1166"/>
    <w:rsid w:val="00FA5139"/>
    <w:rsid w:val="00FB1602"/>
    <w:rsid w:val="00FC0C6F"/>
    <w:rsid w:val="00FC575F"/>
    <w:rsid w:val="00FD1B95"/>
    <w:rsid w:val="00FE31DE"/>
    <w:rsid w:val="00FE6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DD0F1"/>
  <w15:docId w15:val="{117B7BC6-84EE-4E33-80DC-0C3C0182A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D1E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D1E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D1EA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D1EA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D1EA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D1EA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D1EA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D1EA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D1EA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1EA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D1EA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D1EA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D1EA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D1EA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D1EA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D1EA2"/>
    <w:rPr>
      <w:rFonts w:eastAsiaTheme="majorEastAsia" w:cstheme="majorBidi"/>
      <w:color w:val="595959" w:themeColor="text1" w:themeTint="A6"/>
    </w:rPr>
  </w:style>
  <w:style w:type="character" w:customStyle="1" w:styleId="80">
    <w:name w:val="Заголовок 8 Знак"/>
    <w:basedOn w:val="a0"/>
    <w:link w:val="8"/>
    <w:uiPriority w:val="9"/>
    <w:semiHidden/>
    <w:rsid w:val="001D1EA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D1EA2"/>
    <w:rPr>
      <w:rFonts w:eastAsiaTheme="majorEastAsia" w:cstheme="majorBidi"/>
      <w:color w:val="272727" w:themeColor="text1" w:themeTint="D8"/>
    </w:rPr>
  </w:style>
  <w:style w:type="paragraph" w:styleId="a3">
    <w:name w:val="Title"/>
    <w:basedOn w:val="a"/>
    <w:next w:val="a"/>
    <w:link w:val="a4"/>
    <w:uiPriority w:val="10"/>
    <w:qFormat/>
    <w:rsid w:val="001D1E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D1EA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D1EA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D1EA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D1EA2"/>
    <w:pPr>
      <w:spacing w:before="160"/>
      <w:jc w:val="center"/>
    </w:pPr>
    <w:rPr>
      <w:i/>
      <w:iCs/>
      <w:color w:val="404040" w:themeColor="text1" w:themeTint="BF"/>
    </w:rPr>
  </w:style>
  <w:style w:type="character" w:customStyle="1" w:styleId="22">
    <w:name w:val="Цитата 2 Знак"/>
    <w:basedOn w:val="a0"/>
    <w:link w:val="21"/>
    <w:uiPriority w:val="29"/>
    <w:rsid w:val="001D1EA2"/>
    <w:rPr>
      <w:i/>
      <w:iCs/>
      <w:color w:val="404040" w:themeColor="text1" w:themeTint="BF"/>
    </w:rPr>
  </w:style>
  <w:style w:type="paragraph" w:styleId="a7">
    <w:name w:val="List Paragraph"/>
    <w:aliases w:val="Table-Normal,RSHB_Table-Normal,Заголовок_3,Подпись рисунка,Numbered List"/>
    <w:basedOn w:val="a"/>
    <w:link w:val="a8"/>
    <w:uiPriority w:val="34"/>
    <w:qFormat/>
    <w:rsid w:val="001D1EA2"/>
    <w:pPr>
      <w:ind w:left="720"/>
      <w:contextualSpacing/>
    </w:pPr>
  </w:style>
  <w:style w:type="character" w:styleId="a9">
    <w:name w:val="Intense Emphasis"/>
    <w:basedOn w:val="a0"/>
    <w:uiPriority w:val="21"/>
    <w:qFormat/>
    <w:rsid w:val="001D1EA2"/>
    <w:rPr>
      <w:i/>
      <w:iCs/>
      <w:color w:val="0F4761" w:themeColor="accent1" w:themeShade="BF"/>
    </w:rPr>
  </w:style>
  <w:style w:type="paragraph" w:styleId="aa">
    <w:name w:val="Intense Quote"/>
    <w:basedOn w:val="a"/>
    <w:next w:val="a"/>
    <w:link w:val="ab"/>
    <w:uiPriority w:val="30"/>
    <w:qFormat/>
    <w:rsid w:val="001D1E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1D1EA2"/>
    <w:rPr>
      <w:i/>
      <w:iCs/>
      <w:color w:val="0F4761" w:themeColor="accent1" w:themeShade="BF"/>
    </w:rPr>
  </w:style>
  <w:style w:type="character" w:styleId="ac">
    <w:name w:val="Intense Reference"/>
    <w:basedOn w:val="a0"/>
    <w:uiPriority w:val="32"/>
    <w:qFormat/>
    <w:rsid w:val="001D1EA2"/>
    <w:rPr>
      <w:b/>
      <w:bCs/>
      <w:smallCaps/>
      <w:color w:val="0F4761" w:themeColor="accent1" w:themeShade="BF"/>
      <w:spacing w:val="5"/>
    </w:rPr>
  </w:style>
  <w:style w:type="character" w:styleId="ad">
    <w:name w:val="Hyperlink"/>
    <w:basedOn w:val="a0"/>
    <w:uiPriority w:val="99"/>
    <w:unhideWhenUsed/>
    <w:rsid w:val="001D1EA2"/>
    <w:rPr>
      <w:color w:val="467886" w:themeColor="hyperlink"/>
      <w:u w:val="single"/>
    </w:rPr>
  </w:style>
  <w:style w:type="character" w:customStyle="1" w:styleId="11">
    <w:name w:val="Неразрешенное упоминание1"/>
    <w:basedOn w:val="a0"/>
    <w:uiPriority w:val="99"/>
    <w:semiHidden/>
    <w:unhideWhenUsed/>
    <w:rsid w:val="001D1EA2"/>
    <w:rPr>
      <w:color w:val="605E5C"/>
      <w:shd w:val="clear" w:color="auto" w:fill="E1DFDD"/>
    </w:rPr>
  </w:style>
  <w:style w:type="character" w:styleId="ae">
    <w:name w:val="FollowedHyperlink"/>
    <w:basedOn w:val="a0"/>
    <w:uiPriority w:val="99"/>
    <w:semiHidden/>
    <w:unhideWhenUsed/>
    <w:rsid w:val="009D3C13"/>
    <w:rPr>
      <w:color w:val="96607D" w:themeColor="followedHyperlink"/>
      <w:u w:val="single"/>
    </w:rPr>
  </w:style>
  <w:style w:type="paragraph" w:styleId="af">
    <w:name w:val="Normal (Web)"/>
    <w:basedOn w:val="a"/>
    <w:uiPriority w:val="99"/>
    <w:unhideWhenUsed/>
    <w:rsid w:val="007D17C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fadeinm1hgl8">
    <w:name w:val="_fadein_m1hgl_8"/>
    <w:basedOn w:val="a0"/>
    <w:rsid w:val="007D17C6"/>
  </w:style>
  <w:style w:type="paragraph" w:customStyle="1" w:styleId="tkTekst">
    <w:name w:val="_Текст обычный (tkTekst)"/>
    <w:basedOn w:val="a"/>
    <w:rsid w:val="000339B9"/>
    <w:pPr>
      <w:spacing w:after="60" w:line="276" w:lineRule="auto"/>
      <w:ind w:firstLine="567"/>
      <w:jc w:val="both"/>
    </w:pPr>
    <w:rPr>
      <w:rFonts w:ascii="Arial" w:eastAsia="Times New Roman" w:hAnsi="Arial" w:cs="Arial"/>
      <w:kern w:val="0"/>
      <w:sz w:val="20"/>
      <w:szCs w:val="20"/>
      <w:lang w:val="ru-RU" w:eastAsia="ru-RU"/>
      <w14:ligatures w14:val="none"/>
    </w:rPr>
  </w:style>
  <w:style w:type="table" w:styleId="af0">
    <w:name w:val="Table Grid"/>
    <w:basedOn w:val="a1"/>
    <w:uiPriority w:val="39"/>
    <w:rsid w:val="00161C5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link w:val="af2"/>
    <w:uiPriority w:val="99"/>
    <w:unhideWhenUsed/>
    <w:rsid w:val="004F765E"/>
    <w:pPr>
      <w:tabs>
        <w:tab w:val="center" w:pos="4844"/>
        <w:tab w:val="right" w:pos="9689"/>
      </w:tabs>
      <w:spacing w:after="0" w:line="240" w:lineRule="auto"/>
    </w:pPr>
  </w:style>
  <w:style w:type="character" w:customStyle="1" w:styleId="af2">
    <w:name w:val="Верхний колонтитул Знак"/>
    <w:basedOn w:val="a0"/>
    <w:link w:val="af1"/>
    <w:uiPriority w:val="99"/>
    <w:rsid w:val="004F765E"/>
  </w:style>
  <w:style w:type="paragraph" w:styleId="af3">
    <w:name w:val="footer"/>
    <w:basedOn w:val="a"/>
    <w:link w:val="af4"/>
    <w:uiPriority w:val="99"/>
    <w:unhideWhenUsed/>
    <w:rsid w:val="004F765E"/>
    <w:pPr>
      <w:tabs>
        <w:tab w:val="center" w:pos="4844"/>
        <w:tab w:val="right" w:pos="9689"/>
      </w:tabs>
      <w:spacing w:after="0" w:line="240" w:lineRule="auto"/>
    </w:pPr>
  </w:style>
  <w:style w:type="character" w:customStyle="1" w:styleId="af4">
    <w:name w:val="Нижний колонтитул Знак"/>
    <w:basedOn w:val="a0"/>
    <w:link w:val="af3"/>
    <w:uiPriority w:val="99"/>
    <w:rsid w:val="004F765E"/>
  </w:style>
  <w:style w:type="table" w:customStyle="1" w:styleId="TableGrid">
    <w:name w:val="TableGrid"/>
    <w:rsid w:val="005D111B"/>
    <w:pPr>
      <w:spacing w:after="0" w:line="240" w:lineRule="auto"/>
    </w:pPr>
    <w:rPr>
      <w:rFonts w:eastAsiaTheme="minorEastAsia"/>
      <w:kern w:val="0"/>
      <w14:ligatures w14:val="none"/>
    </w:rPr>
    <w:tblPr>
      <w:tblCellMar>
        <w:top w:w="0" w:type="dxa"/>
        <w:left w:w="0" w:type="dxa"/>
        <w:bottom w:w="0" w:type="dxa"/>
        <w:right w:w="0" w:type="dxa"/>
      </w:tblCellMar>
    </w:tblPr>
  </w:style>
  <w:style w:type="paragraph" w:styleId="af5">
    <w:name w:val="annotation text"/>
    <w:basedOn w:val="a"/>
    <w:link w:val="af6"/>
    <w:uiPriority w:val="99"/>
    <w:unhideWhenUsed/>
    <w:rsid w:val="005D111B"/>
    <w:pPr>
      <w:spacing w:after="214" w:line="240" w:lineRule="auto"/>
      <w:ind w:left="12" w:right="2" w:hanging="10"/>
    </w:pPr>
    <w:rPr>
      <w:rFonts w:ascii="Calibri" w:eastAsia="Calibri" w:hAnsi="Calibri" w:cs="Calibri"/>
      <w:color w:val="000000"/>
      <w:kern w:val="0"/>
      <w:sz w:val="20"/>
      <w:szCs w:val="20"/>
      <w14:ligatures w14:val="none"/>
    </w:rPr>
  </w:style>
  <w:style w:type="character" w:customStyle="1" w:styleId="af6">
    <w:name w:val="Текст примечания Знак"/>
    <w:basedOn w:val="a0"/>
    <w:link w:val="af5"/>
    <w:uiPriority w:val="99"/>
    <w:rsid w:val="005D111B"/>
    <w:rPr>
      <w:rFonts w:ascii="Calibri" w:eastAsia="Calibri" w:hAnsi="Calibri" w:cs="Calibri"/>
      <w:color w:val="000000"/>
      <w:kern w:val="0"/>
      <w:sz w:val="20"/>
      <w:szCs w:val="20"/>
      <w14:ligatures w14:val="none"/>
    </w:rPr>
  </w:style>
  <w:style w:type="character" w:styleId="af7">
    <w:name w:val="annotation reference"/>
    <w:basedOn w:val="a0"/>
    <w:uiPriority w:val="99"/>
    <w:semiHidden/>
    <w:unhideWhenUsed/>
    <w:rsid w:val="00631296"/>
    <w:rPr>
      <w:sz w:val="16"/>
      <w:szCs w:val="16"/>
    </w:rPr>
  </w:style>
  <w:style w:type="paragraph" w:styleId="af8">
    <w:name w:val="annotation subject"/>
    <w:basedOn w:val="af5"/>
    <w:next w:val="af5"/>
    <w:link w:val="af9"/>
    <w:uiPriority w:val="99"/>
    <w:semiHidden/>
    <w:unhideWhenUsed/>
    <w:rsid w:val="00C32C22"/>
    <w:pPr>
      <w:spacing w:after="160"/>
      <w:ind w:left="0" w:right="0" w:firstLine="0"/>
    </w:pPr>
    <w:rPr>
      <w:rFonts w:asciiTheme="minorHAnsi" w:eastAsiaTheme="minorHAnsi" w:hAnsiTheme="minorHAnsi" w:cstheme="minorBidi"/>
      <w:b/>
      <w:bCs/>
      <w:color w:val="auto"/>
      <w:kern w:val="2"/>
      <w14:ligatures w14:val="standardContextual"/>
    </w:rPr>
  </w:style>
  <w:style w:type="character" w:customStyle="1" w:styleId="af9">
    <w:name w:val="Тема примечания Знак"/>
    <w:basedOn w:val="af6"/>
    <w:link w:val="af8"/>
    <w:uiPriority w:val="99"/>
    <w:semiHidden/>
    <w:rsid w:val="00C32C22"/>
    <w:rPr>
      <w:rFonts w:ascii="Calibri" w:eastAsia="Calibri" w:hAnsi="Calibri" w:cs="Calibri"/>
      <w:b/>
      <w:bCs/>
      <w:color w:val="000000"/>
      <w:kern w:val="0"/>
      <w:sz w:val="20"/>
      <w:szCs w:val="20"/>
      <w14:ligatures w14:val="none"/>
    </w:rPr>
  </w:style>
  <w:style w:type="character" w:styleId="afa">
    <w:name w:val="Strong"/>
    <w:basedOn w:val="a0"/>
    <w:uiPriority w:val="22"/>
    <w:qFormat/>
    <w:rsid w:val="00796153"/>
    <w:rPr>
      <w:b/>
      <w:bCs/>
    </w:rPr>
  </w:style>
  <w:style w:type="character" w:customStyle="1" w:styleId="a8">
    <w:name w:val="Абзац списка Знак"/>
    <w:aliases w:val="Table-Normal Знак,RSHB_Table-Normal Знак,Заголовок_3 Знак,Подпись рисунка Знак,Numbered List Знак"/>
    <w:link w:val="a7"/>
    <w:uiPriority w:val="34"/>
    <w:locked/>
    <w:rsid w:val="00796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34239">
      <w:bodyDiv w:val="1"/>
      <w:marLeft w:val="0"/>
      <w:marRight w:val="0"/>
      <w:marTop w:val="0"/>
      <w:marBottom w:val="0"/>
      <w:divBdr>
        <w:top w:val="none" w:sz="0" w:space="0" w:color="auto"/>
        <w:left w:val="none" w:sz="0" w:space="0" w:color="auto"/>
        <w:bottom w:val="none" w:sz="0" w:space="0" w:color="auto"/>
        <w:right w:val="none" w:sz="0" w:space="0" w:color="auto"/>
      </w:divBdr>
    </w:div>
    <w:div w:id="308486373">
      <w:bodyDiv w:val="1"/>
      <w:marLeft w:val="0"/>
      <w:marRight w:val="0"/>
      <w:marTop w:val="0"/>
      <w:marBottom w:val="0"/>
      <w:divBdr>
        <w:top w:val="none" w:sz="0" w:space="0" w:color="auto"/>
        <w:left w:val="none" w:sz="0" w:space="0" w:color="auto"/>
        <w:bottom w:val="none" w:sz="0" w:space="0" w:color="auto"/>
        <w:right w:val="none" w:sz="0" w:space="0" w:color="auto"/>
      </w:divBdr>
    </w:div>
    <w:div w:id="315694549">
      <w:bodyDiv w:val="1"/>
      <w:marLeft w:val="0"/>
      <w:marRight w:val="0"/>
      <w:marTop w:val="0"/>
      <w:marBottom w:val="0"/>
      <w:divBdr>
        <w:top w:val="none" w:sz="0" w:space="0" w:color="auto"/>
        <w:left w:val="none" w:sz="0" w:space="0" w:color="auto"/>
        <w:bottom w:val="none" w:sz="0" w:space="0" w:color="auto"/>
        <w:right w:val="none" w:sz="0" w:space="0" w:color="auto"/>
      </w:divBdr>
    </w:div>
    <w:div w:id="360208739">
      <w:bodyDiv w:val="1"/>
      <w:marLeft w:val="0"/>
      <w:marRight w:val="0"/>
      <w:marTop w:val="0"/>
      <w:marBottom w:val="0"/>
      <w:divBdr>
        <w:top w:val="none" w:sz="0" w:space="0" w:color="auto"/>
        <w:left w:val="none" w:sz="0" w:space="0" w:color="auto"/>
        <w:bottom w:val="none" w:sz="0" w:space="0" w:color="auto"/>
        <w:right w:val="none" w:sz="0" w:space="0" w:color="auto"/>
      </w:divBdr>
    </w:div>
    <w:div w:id="492182316">
      <w:bodyDiv w:val="1"/>
      <w:marLeft w:val="0"/>
      <w:marRight w:val="0"/>
      <w:marTop w:val="0"/>
      <w:marBottom w:val="0"/>
      <w:divBdr>
        <w:top w:val="none" w:sz="0" w:space="0" w:color="auto"/>
        <w:left w:val="none" w:sz="0" w:space="0" w:color="auto"/>
        <w:bottom w:val="none" w:sz="0" w:space="0" w:color="auto"/>
        <w:right w:val="none" w:sz="0" w:space="0" w:color="auto"/>
      </w:divBdr>
    </w:div>
    <w:div w:id="739904007">
      <w:bodyDiv w:val="1"/>
      <w:marLeft w:val="0"/>
      <w:marRight w:val="0"/>
      <w:marTop w:val="0"/>
      <w:marBottom w:val="0"/>
      <w:divBdr>
        <w:top w:val="none" w:sz="0" w:space="0" w:color="auto"/>
        <w:left w:val="none" w:sz="0" w:space="0" w:color="auto"/>
        <w:bottom w:val="none" w:sz="0" w:space="0" w:color="auto"/>
        <w:right w:val="none" w:sz="0" w:space="0" w:color="auto"/>
      </w:divBdr>
    </w:div>
    <w:div w:id="934094474">
      <w:bodyDiv w:val="1"/>
      <w:marLeft w:val="0"/>
      <w:marRight w:val="0"/>
      <w:marTop w:val="0"/>
      <w:marBottom w:val="0"/>
      <w:divBdr>
        <w:top w:val="none" w:sz="0" w:space="0" w:color="auto"/>
        <w:left w:val="none" w:sz="0" w:space="0" w:color="auto"/>
        <w:bottom w:val="none" w:sz="0" w:space="0" w:color="auto"/>
        <w:right w:val="none" w:sz="0" w:space="0" w:color="auto"/>
      </w:divBdr>
    </w:div>
    <w:div w:id="1099375803">
      <w:bodyDiv w:val="1"/>
      <w:marLeft w:val="0"/>
      <w:marRight w:val="0"/>
      <w:marTop w:val="0"/>
      <w:marBottom w:val="0"/>
      <w:divBdr>
        <w:top w:val="none" w:sz="0" w:space="0" w:color="auto"/>
        <w:left w:val="none" w:sz="0" w:space="0" w:color="auto"/>
        <w:bottom w:val="none" w:sz="0" w:space="0" w:color="auto"/>
        <w:right w:val="none" w:sz="0" w:space="0" w:color="auto"/>
      </w:divBdr>
      <w:divsChild>
        <w:div w:id="432629532">
          <w:marLeft w:val="0"/>
          <w:marRight w:val="0"/>
          <w:marTop w:val="0"/>
          <w:marBottom w:val="0"/>
          <w:divBdr>
            <w:top w:val="none" w:sz="0" w:space="0" w:color="auto"/>
            <w:left w:val="none" w:sz="0" w:space="0" w:color="auto"/>
            <w:bottom w:val="none" w:sz="0" w:space="0" w:color="auto"/>
            <w:right w:val="none" w:sz="0" w:space="0" w:color="auto"/>
          </w:divBdr>
          <w:divsChild>
            <w:div w:id="1721707507">
              <w:marLeft w:val="0"/>
              <w:marRight w:val="0"/>
              <w:marTop w:val="0"/>
              <w:marBottom w:val="0"/>
              <w:divBdr>
                <w:top w:val="none" w:sz="0" w:space="0" w:color="auto"/>
                <w:left w:val="none" w:sz="0" w:space="0" w:color="auto"/>
                <w:bottom w:val="none" w:sz="0" w:space="0" w:color="auto"/>
                <w:right w:val="none" w:sz="0" w:space="0" w:color="auto"/>
              </w:divBdr>
              <w:divsChild>
                <w:div w:id="241641474">
                  <w:marLeft w:val="0"/>
                  <w:marRight w:val="0"/>
                  <w:marTop w:val="0"/>
                  <w:marBottom w:val="0"/>
                  <w:divBdr>
                    <w:top w:val="none" w:sz="0" w:space="0" w:color="auto"/>
                    <w:left w:val="none" w:sz="0" w:space="0" w:color="auto"/>
                    <w:bottom w:val="none" w:sz="0" w:space="0" w:color="auto"/>
                    <w:right w:val="none" w:sz="0" w:space="0" w:color="auto"/>
                  </w:divBdr>
                  <w:divsChild>
                    <w:div w:id="1172259214">
                      <w:marLeft w:val="0"/>
                      <w:marRight w:val="0"/>
                      <w:marTop w:val="0"/>
                      <w:marBottom w:val="0"/>
                      <w:divBdr>
                        <w:top w:val="none" w:sz="0" w:space="0" w:color="auto"/>
                        <w:left w:val="none" w:sz="0" w:space="0" w:color="auto"/>
                        <w:bottom w:val="none" w:sz="0" w:space="0" w:color="auto"/>
                        <w:right w:val="none" w:sz="0" w:space="0" w:color="auto"/>
                      </w:divBdr>
                      <w:divsChild>
                        <w:div w:id="959651360">
                          <w:marLeft w:val="0"/>
                          <w:marRight w:val="0"/>
                          <w:marTop w:val="0"/>
                          <w:marBottom w:val="0"/>
                          <w:divBdr>
                            <w:top w:val="none" w:sz="0" w:space="0" w:color="auto"/>
                            <w:left w:val="none" w:sz="0" w:space="0" w:color="auto"/>
                            <w:bottom w:val="none" w:sz="0" w:space="0" w:color="auto"/>
                            <w:right w:val="none" w:sz="0" w:space="0" w:color="auto"/>
                          </w:divBdr>
                          <w:divsChild>
                            <w:div w:id="37782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225444">
      <w:bodyDiv w:val="1"/>
      <w:marLeft w:val="0"/>
      <w:marRight w:val="0"/>
      <w:marTop w:val="0"/>
      <w:marBottom w:val="0"/>
      <w:divBdr>
        <w:top w:val="none" w:sz="0" w:space="0" w:color="auto"/>
        <w:left w:val="none" w:sz="0" w:space="0" w:color="auto"/>
        <w:bottom w:val="none" w:sz="0" w:space="0" w:color="auto"/>
        <w:right w:val="none" w:sz="0" w:space="0" w:color="auto"/>
      </w:divBdr>
    </w:div>
    <w:div w:id="1301181820">
      <w:bodyDiv w:val="1"/>
      <w:marLeft w:val="0"/>
      <w:marRight w:val="0"/>
      <w:marTop w:val="0"/>
      <w:marBottom w:val="0"/>
      <w:divBdr>
        <w:top w:val="none" w:sz="0" w:space="0" w:color="auto"/>
        <w:left w:val="none" w:sz="0" w:space="0" w:color="auto"/>
        <w:bottom w:val="none" w:sz="0" w:space="0" w:color="auto"/>
        <w:right w:val="none" w:sz="0" w:space="0" w:color="auto"/>
      </w:divBdr>
    </w:div>
    <w:div w:id="1316646831">
      <w:bodyDiv w:val="1"/>
      <w:marLeft w:val="0"/>
      <w:marRight w:val="0"/>
      <w:marTop w:val="0"/>
      <w:marBottom w:val="0"/>
      <w:divBdr>
        <w:top w:val="none" w:sz="0" w:space="0" w:color="auto"/>
        <w:left w:val="none" w:sz="0" w:space="0" w:color="auto"/>
        <w:bottom w:val="none" w:sz="0" w:space="0" w:color="auto"/>
        <w:right w:val="none" w:sz="0" w:space="0" w:color="auto"/>
      </w:divBdr>
    </w:div>
    <w:div w:id="1715615431">
      <w:bodyDiv w:val="1"/>
      <w:marLeft w:val="0"/>
      <w:marRight w:val="0"/>
      <w:marTop w:val="0"/>
      <w:marBottom w:val="0"/>
      <w:divBdr>
        <w:top w:val="none" w:sz="0" w:space="0" w:color="auto"/>
        <w:left w:val="none" w:sz="0" w:space="0" w:color="auto"/>
        <w:bottom w:val="none" w:sz="0" w:space="0" w:color="auto"/>
        <w:right w:val="none" w:sz="0" w:space="0" w:color="auto"/>
      </w:divBdr>
    </w:div>
    <w:div w:id="1811093981">
      <w:bodyDiv w:val="1"/>
      <w:marLeft w:val="0"/>
      <w:marRight w:val="0"/>
      <w:marTop w:val="0"/>
      <w:marBottom w:val="0"/>
      <w:divBdr>
        <w:top w:val="none" w:sz="0" w:space="0" w:color="auto"/>
        <w:left w:val="none" w:sz="0" w:space="0" w:color="auto"/>
        <w:bottom w:val="none" w:sz="0" w:space="0" w:color="auto"/>
        <w:right w:val="none" w:sz="0" w:space="0" w:color="auto"/>
      </w:divBdr>
      <w:divsChild>
        <w:div w:id="316346021">
          <w:marLeft w:val="0"/>
          <w:marRight w:val="0"/>
          <w:marTop w:val="0"/>
          <w:marBottom w:val="0"/>
          <w:divBdr>
            <w:top w:val="none" w:sz="0" w:space="0" w:color="auto"/>
            <w:left w:val="none" w:sz="0" w:space="0" w:color="auto"/>
            <w:bottom w:val="none" w:sz="0" w:space="0" w:color="auto"/>
            <w:right w:val="none" w:sz="0" w:space="0" w:color="auto"/>
          </w:divBdr>
          <w:divsChild>
            <w:div w:id="1717971618">
              <w:marLeft w:val="0"/>
              <w:marRight w:val="0"/>
              <w:marTop w:val="0"/>
              <w:marBottom w:val="0"/>
              <w:divBdr>
                <w:top w:val="none" w:sz="0" w:space="0" w:color="auto"/>
                <w:left w:val="none" w:sz="0" w:space="0" w:color="auto"/>
                <w:bottom w:val="none" w:sz="0" w:space="0" w:color="auto"/>
                <w:right w:val="none" w:sz="0" w:space="0" w:color="auto"/>
              </w:divBdr>
              <w:divsChild>
                <w:div w:id="1151141334">
                  <w:marLeft w:val="0"/>
                  <w:marRight w:val="0"/>
                  <w:marTop w:val="0"/>
                  <w:marBottom w:val="0"/>
                  <w:divBdr>
                    <w:top w:val="none" w:sz="0" w:space="0" w:color="auto"/>
                    <w:left w:val="none" w:sz="0" w:space="0" w:color="auto"/>
                    <w:bottom w:val="none" w:sz="0" w:space="0" w:color="auto"/>
                    <w:right w:val="none" w:sz="0" w:space="0" w:color="auto"/>
                  </w:divBdr>
                  <w:divsChild>
                    <w:div w:id="725371254">
                      <w:marLeft w:val="0"/>
                      <w:marRight w:val="0"/>
                      <w:marTop w:val="0"/>
                      <w:marBottom w:val="0"/>
                      <w:divBdr>
                        <w:top w:val="none" w:sz="0" w:space="0" w:color="auto"/>
                        <w:left w:val="none" w:sz="0" w:space="0" w:color="auto"/>
                        <w:bottom w:val="none" w:sz="0" w:space="0" w:color="auto"/>
                        <w:right w:val="none" w:sz="0" w:space="0" w:color="auto"/>
                      </w:divBdr>
                      <w:divsChild>
                        <w:div w:id="1759445060">
                          <w:marLeft w:val="0"/>
                          <w:marRight w:val="0"/>
                          <w:marTop w:val="0"/>
                          <w:marBottom w:val="0"/>
                          <w:divBdr>
                            <w:top w:val="none" w:sz="0" w:space="0" w:color="auto"/>
                            <w:left w:val="none" w:sz="0" w:space="0" w:color="auto"/>
                            <w:bottom w:val="none" w:sz="0" w:space="0" w:color="auto"/>
                            <w:right w:val="none" w:sz="0" w:space="0" w:color="auto"/>
                          </w:divBdr>
                          <w:divsChild>
                            <w:div w:id="9823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429706">
      <w:bodyDiv w:val="1"/>
      <w:marLeft w:val="0"/>
      <w:marRight w:val="0"/>
      <w:marTop w:val="0"/>
      <w:marBottom w:val="0"/>
      <w:divBdr>
        <w:top w:val="none" w:sz="0" w:space="0" w:color="auto"/>
        <w:left w:val="none" w:sz="0" w:space="0" w:color="auto"/>
        <w:bottom w:val="none" w:sz="0" w:space="0" w:color="auto"/>
        <w:right w:val="none" w:sz="0" w:space="0" w:color="auto"/>
      </w:divBdr>
    </w:div>
    <w:div w:id="1825469872">
      <w:bodyDiv w:val="1"/>
      <w:marLeft w:val="0"/>
      <w:marRight w:val="0"/>
      <w:marTop w:val="0"/>
      <w:marBottom w:val="0"/>
      <w:divBdr>
        <w:top w:val="none" w:sz="0" w:space="0" w:color="auto"/>
        <w:left w:val="none" w:sz="0" w:space="0" w:color="auto"/>
        <w:bottom w:val="none" w:sz="0" w:space="0" w:color="auto"/>
        <w:right w:val="none" w:sz="0" w:space="0" w:color="auto"/>
      </w:divBdr>
    </w:div>
    <w:div w:id="1870340541">
      <w:bodyDiv w:val="1"/>
      <w:marLeft w:val="0"/>
      <w:marRight w:val="0"/>
      <w:marTop w:val="0"/>
      <w:marBottom w:val="0"/>
      <w:divBdr>
        <w:top w:val="none" w:sz="0" w:space="0" w:color="auto"/>
        <w:left w:val="none" w:sz="0" w:space="0" w:color="auto"/>
        <w:bottom w:val="none" w:sz="0" w:space="0" w:color="auto"/>
        <w:right w:val="none" w:sz="0" w:space="0" w:color="auto"/>
      </w:divBdr>
      <w:divsChild>
        <w:div w:id="1396852343">
          <w:marLeft w:val="0"/>
          <w:marRight w:val="0"/>
          <w:marTop w:val="0"/>
          <w:marBottom w:val="0"/>
          <w:divBdr>
            <w:top w:val="none" w:sz="0" w:space="0" w:color="auto"/>
            <w:left w:val="none" w:sz="0" w:space="0" w:color="auto"/>
            <w:bottom w:val="none" w:sz="0" w:space="0" w:color="auto"/>
            <w:right w:val="none" w:sz="0" w:space="0" w:color="auto"/>
          </w:divBdr>
          <w:divsChild>
            <w:div w:id="2003462811">
              <w:marLeft w:val="0"/>
              <w:marRight w:val="0"/>
              <w:marTop w:val="0"/>
              <w:marBottom w:val="0"/>
              <w:divBdr>
                <w:top w:val="none" w:sz="0" w:space="0" w:color="auto"/>
                <w:left w:val="none" w:sz="0" w:space="0" w:color="auto"/>
                <w:bottom w:val="none" w:sz="0" w:space="0" w:color="auto"/>
                <w:right w:val="none" w:sz="0" w:space="0" w:color="auto"/>
              </w:divBdr>
              <w:divsChild>
                <w:div w:id="83504237">
                  <w:marLeft w:val="0"/>
                  <w:marRight w:val="0"/>
                  <w:marTop w:val="0"/>
                  <w:marBottom w:val="0"/>
                  <w:divBdr>
                    <w:top w:val="none" w:sz="0" w:space="0" w:color="auto"/>
                    <w:left w:val="none" w:sz="0" w:space="0" w:color="auto"/>
                    <w:bottom w:val="none" w:sz="0" w:space="0" w:color="auto"/>
                    <w:right w:val="none" w:sz="0" w:space="0" w:color="auto"/>
                  </w:divBdr>
                  <w:divsChild>
                    <w:div w:id="1193422881">
                      <w:marLeft w:val="0"/>
                      <w:marRight w:val="0"/>
                      <w:marTop w:val="0"/>
                      <w:marBottom w:val="0"/>
                      <w:divBdr>
                        <w:top w:val="none" w:sz="0" w:space="0" w:color="auto"/>
                        <w:left w:val="none" w:sz="0" w:space="0" w:color="auto"/>
                        <w:bottom w:val="none" w:sz="0" w:space="0" w:color="auto"/>
                        <w:right w:val="none" w:sz="0" w:space="0" w:color="auto"/>
                      </w:divBdr>
                      <w:divsChild>
                        <w:div w:id="1200750757">
                          <w:marLeft w:val="0"/>
                          <w:marRight w:val="0"/>
                          <w:marTop w:val="0"/>
                          <w:marBottom w:val="0"/>
                          <w:divBdr>
                            <w:top w:val="none" w:sz="0" w:space="0" w:color="auto"/>
                            <w:left w:val="none" w:sz="0" w:space="0" w:color="auto"/>
                            <w:bottom w:val="none" w:sz="0" w:space="0" w:color="auto"/>
                            <w:right w:val="none" w:sz="0" w:space="0" w:color="auto"/>
                          </w:divBdr>
                          <w:divsChild>
                            <w:div w:id="148913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155244">
      <w:bodyDiv w:val="1"/>
      <w:marLeft w:val="0"/>
      <w:marRight w:val="0"/>
      <w:marTop w:val="0"/>
      <w:marBottom w:val="0"/>
      <w:divBdr>
        <w:top w:val="none" w:sz="0" w:space="0" w:color="auto"/>
        <w:left w:val="none" w:sz="0" w:space="0" w:color="auto"/>
        <w:bottom w:val="none" w:sz="0" w:space="0" w:color="auto"/>
        <w:right w:val="none" w:sz="0" w:space="0" w:color="auto"/>
      </w:divBdr>
    </w:div>
    <w:div w:id="2075423433">
      <w:bodyDiv w:val="1"/>
      <w:marLeft w:val="0"/>
      <w:marRight w:val="0"/>
      <w:marTop w:val="0"/>
      <w:marBottom w:val="0"/>
      <w:divBdr>
        <w:top w:val="none" w:sz="0" w:space="0" w:color="auto"/>
        <w:left w:val="none" w:sz="0" w:space="0" w:color="auto"/>
        <w:bottom w:val="none" w:sz="0" w:space="0" w:color="auto"/>
        <w:right w:val="none" w:sz="0" w:space="0" w:color="auto"/>
      </w:divBdr>
    </w:div>
    <w:div w:id="2077118867">
      <w:bodyDiv w:val="1"/>
      <w:marLeft w:val="0"/>
      <w:marRight w:val="0"/>
      <w:marTop w:val="0"/>
      <w:marBottom w:val="0"/>
      <w:divBdr>
        <w:top w:val="none" w:sz="0" w:space="0" w:color="auto"/>
        <w:left w:val="none" w:sz="0" w:space="0" w:color="auto"/>
        <w:bottom w:val="none" w:sz="0" w:space="0" w:color="auto"/>
        <w:right w:val="none" w:sz="0" w:space="0" w:color="auto"/>
      </w:divBdr>
      <w:divsChild>
        <w:div w:id="586040942">
          <w:marLeft w:val="0"/>
          <w:marRight w:val="0"/>
          <w:marTop w:val="0"/>
          <w:marBottom w:val="0"/>
          <w:divBdr>
            <w:top w:val="none" w:sz="0" w:space="0" w:color="auto"/>
            <w:left w:val="none" w:sz="0" w:space="0" w:color="auto"/>
            <w:bottom w:val="none" w:sz="0" w:space="0" w:color="auto"/>
            <w:right w:val="none" w:sz="0" w:space="0" w:color="auto"/>
          </w:divBdr>
          <w:divsChild>
            <w:div w:id="321129220">
              <w:marLeft w:val="0"/>
              <w:marRight w:val="0"/>
              <w:marTop w:val="0"/>
              <w:marBottom w:val="0"/>
              <w:divBdr>
                <w:top w:val="none" w:sz="0" w:space="0" w:color="auto"/>
                <w:left w:val="none" w:sz="0" w:space="0" w:color="auto"/>
                <w:bottom w:val="none" w:sz="0" w:space="0" w:color="auto"/>
                <w:right w:val="none" w:sz="0" w:space="0" w:color="auto"/>
              </w:divBdr>
              <w:divsChild>
                <w:div w:id="1177959625">
                  <w:marLeft w:val="0"/>
                  <w:marRight w:val="0"/>
                  <w:marTop w:val="0"/>
                  <w:marBottom w:val="0"/>
                  <w:divBdr>
                    <w:top w:val="none" w:sz="0" w:space="0" w:color="auto"/>
                    <w:left w:val="none" w:sz="0" w:space="0" w:color="auto"/>
                    <w:bottom w:val="none" w:sz="0" w:space="0" w:color="auto"/>
                    <w:right w:val="none" w:sz="0" w:space="0" w:color="auto"/>
                  </w:divBdr>
                  <w:divsChild>
                    <w:div w:id="1860002237">
                      <w:marLeft w:val="0"/>
                      <w:marRight w:val="0"/>
                      <w:marTop w:val="0"/>
                      <w:marBottom w:val="0"/>
                      <w:divBdr>
                        <w:top w:val="none" w:sz="0" w:space="0" w:color="auto"/>
                        <w:left w:val="none" w:sz="0" w:space="0" w:color="auto"/>
                        <w:bottom w:val="none" w:sz="0" w:space="0" w:color="auto"/>
                        <w:right w:val="none" w:sz="0" w:space="0" w:color="auto"/>
                      </w:divBdr>
                      <w:divsChild>
                        <w:div w:id="1188831711">
                          <w:marLeft w:val="0"/>
                          <w:marRight w:val="0"/>
                          <w:marTop w:val="0"/>
                          <w:marBottom w:val="0"/>
                          <w:divBdr>
                            <w:top w:val="none" w:sz="0" w:space="0" w:color="auto"/>
                            <w:left w:val="none" w:sz="0" w:space="0" w:color="auto"/>
                            <w:bottom w:val="none" w:sz="0" w:space="0" w:color="auto"/>
                            <w:right w:val="none" w:sz="0" w:space="0" w:color="auto"/>
                          </w:divBdr>
                          <w:divsChild>
                            <w:div w:id="191924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klift.truck@kumtor.k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anzhar.Beishenaliev@kumtor.k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77754-1F7B-4556-8AF8-A5D4D1877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1115</Words>
  <Characters>6362</Characters>
  <Application>Microsoft Office Word</Application>
  <DocSecurity>0</DocSecurity>
  <Lines>147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Samat Bakytov</dc:creator>
  <cp:lastModifiedBy>Sanzhar Beishenaliev</cp:lastModifiedBy>
  <cp:revision>5</cp:revision>
  <cp:lastPrinted>2025-05-29T02:44:00Z</cp:lastPrinted>
  <dcterms:created xsi:type="dcterms:W3CDTF">2025-11-06T08:43:00Z</dcterms:created>
  <dcterms:modified xsi:type="dcterms:W3CDTF">2025-11-14T10:17:00Z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2025-02-18T12:50:38Z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97289edd-f66b-4a8a-8440-769bfdd6cb4c</vt:lpwstr>
  </property>
  <property fmtid="{D5CDD505-2E9C-101B-9397-08002B2CF9AE}" pid="8" name="MSIP_Label_d85bea94-60d0-4a5c-9138-48420e73067f_ContentBits">
    <vt:lpwstr>0</vt:lpwstr>
  </property>
</Properties>
</file>